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New Value Equation in Professional Services</w:t>
      </w:r>
    </w:p>
    <w:p>
      <w:pPr>
        <w:pStyle w:val="Heading2"/>
        <w:jc w:val="center"/>
      </w:pPr>
      <w:r>
        <w:t>Culture, Talent, and Growth in the Private Equity Era</w:t>
      </w:r>
    </w:p>
    <w:p/>
    <w:p>
      <w:pPr>
        <w:pBdr>
          <w:top w:val="single" w:sz="8" w:space="4" w:color="4F81BD"/>
          <w:left w:val="single" w:sz="8" w:space="4" w:color="4F81BD"/>
          <w:bottom w:val="single" w:sz="8" w:space="4" w:color="4F81BD"/>
          <w:right w:val="single" w:sz="8" w:space="4" w:color="4F81BD"/>
        </w:pBdr>
      </w:pPr>
      <w:r>
        <w:t>Executive Summary</w:t>
        <w:br/>
        <w:br/>
        <w:t>Professional services firms are operating in a fundamentally different competitive environment. Private equity is no longer an occasional capital partner. In many segments, particularly accounting and advisory, it is becoming table stakes for firms that want to scale, modernize, and compete at the highest levels.</w:t>
        <w:br/>
        <w:br/>
        <w:t>This shift has changed how firms are evaluated. Investors are not only assessing financial performance and market position. They are examining whether a firm possesses a culture capable of attracting, developing, and retaining top talent without relying on coercive mechanisms such as restrictive non-compete agreements. Talent durability and cultural strength are now seen as core value drivers worthy of investment.</w:t>
      </w:r>
    </w:p>
    <w:p>
      <w:r>
        <w:br w:type="page"/>
      </w:r>
    </w:p>
    <w:p>
      <w:pPr>
        <w:pStyle w:val="Heading1"/>
      </w:pPr>
      <w:r>
        <w:rPr>
          <w:color w:val="1F4E79"/>
        </w:rPr>
        <w:t>1. A New Competitive Environment for Professional Services</w:t>
      </w:r>
    </w:p>
    <w:p>
      <w:pPr>
        <w:shd w:fill="E9EEF3"/>
      </w:pPr>
      <w:r>
        <w:t>Private equity participation in professional services has accelerated. Scale, technology investment, and geographic expansion increasingly depend on access to capital and strategic partnership. As a result, firms that lack a credible pathway to PE readiness risk falling behind more modern, better-capitalized competitors.</w:t>
        <w:br/>
        <w:br/>
        <w:t>In this environment, cultural quality is no longer an internal matter alone. It is part of market positioning. Investors recognize that professional services firms derive enterprise value from people, relationships, and expertise. A firm that struggles to retain talent signals fragility. A firm that retains people because they are engaged, challenged, and valued signals resilience and scalability.</w:t>
      </w:r>
    </w:p>
    <w:p>
      <w:pPr>
        <w:pStyle w:val="Heading1"/>
      </w:pPr>
      <w:r>
        <w:rPr>
          <w:color w:val="1F4E79"/>
        </w:rPr>
        <w:t>2. How Private Equity Now Evaluates Talent and Culture</w:t>
      </w:r>
    </w:p>
    <w:p>
      <w:pPr>
        <w:shd w:fill="E9EEF3"/>
      </w:pPr>
      <w:r>
        <w:t>Private equity firms increasingly assess whether a firm’s culture supports performance without coercion. Signals include meaningful career development, collaboration across service lines, and transparent communication practices that build trust.</w:t>
      </w:r>
    </w:p>
    <w:p>
      <w:pPr>
        <w:pStyle w:val="Heading1"/>
      </w:pPr>
      <w:r>
        <w:rPr>
          <w:color w:val="1F4E79"/>
        </w:rPr>
        <w:t>3. Managing Partner Awareness and the Desire for Readiness</w:t>
      </w:r>
    </w:p>
    <w:p>
      <w:pPr>
        <w:shd w:fill="E9EEF3"/>
      </w:pPr>
      <w:r>
        <w:t>Managing partners understand that cultural strength affects firm performance and future strategic options. Culture must be experienced daily through communication, leadership, and opportunity.</w:t>
      </w:r>
    </w:p>
    <w:p>
      <w:pPr>
        <w:pStyle w:val="Heading1"/>
      </w:pPr>
      <w:r>
        <w:rPr>
          <w:color w:val="1F4E79"/>
        </w:rPr>
        <w:t>4. Accounting and Advisory Firms in the Crosshairs</w:t>
      </w:r>
    </w:p>
    <w:p>
      <w:pPr>
        <w:shd w:fill="E9EEF3"/>
      </w:pPr>
      <w:r>
        <w:t>These firms face rising technology expectations, increasing competition, and a workforce with new expectations around communication, feedback, and development.</w:t>
      </w:r>
    </w:p>
    <w:p>
      <w:pPr>
        <w:pStyle w:val="Heading1"/>
      </w:pPr>
      <w:r>
        <w:rPr>
          <w:color w:val="1F4E79"/>
        </w:rPr>
        <w:t>5. Why Conventional HR Is Not Enough</w:t>
      </w:r>
    </w:p>
    <w:p>
      <w:pPr>
        <w:shd w:fill="E9EEF3"/>
      </w:pPr>
      <w:r>
        <w:t>Culture is shaped by services offered, problems solved, technologies used, and collaboration patterns. Structural change drives real cultural evolution.</w:t>
      </w:r>
    </w:p>
    <w:p>
      <w:pPr>
        <w:pStyle w:val="Heading1"/>
      </w:pPr>
      <w:r>
        <w:rPr>
          <w:color w:val="1F4E79"/>
        </w:rPr>
        <w:t>6. Manufacturing Cultural Change Through Service Strategy</w:t>
      </w:r>
    </w:p>
    <w:p>
      <w:pPr>
        <w:shd w:fill="E9EEF3"/>
      </w:pPr>
      <w:r>
        <w:t>Introducing modern service lines such as ERP implementation creates environments that attract and retain ambitious professionals while influencing broader firm culture.</w:t>
      </w:r>
    </w:p>
    <w:p>
      <w:pPr>
        <w:pStyle w:val="Heading1"/>
      </w:pPr>
      <w:r>
        <w:rPr>
          <w:color w:val="1F4E79"/>
        </w:rPr>
        <w:t>7. Communication as a Cultural Transmission Mechanism</w:t>
      </w:r>
    </w:p>
    <w:p>
      <w:pPr>
        <w:shd w:fill="E9EEF3"/>
      </w:pPr>
      <w:r>
        <w:t>Modern communication practices build trust, reinforce accountability, and help bridge generational differences in the workplace.</w:t>
      </w:r>
    </w:p>
    <w:p>
      <w:pPr>
        <w:pStyle w:val="Heading1"/>
      </w:pPr>
      <w:r>
        <w:rPr>
          <w:color w:val="1F4E79"/>
        </w:rPr>
        <w:t>8. What This Means for Managing Partners Now</w:t>
      </w:r>
    </w:p>
    <w:p>
      <w:pPr>
        <w:shd w:fill="E9EEF3"/>
      </w:pPr>
      <w:r>
        <w:t>Leaders should assess service portfolios, introduce growth-oriented practices, modernize communication rhythms, and reduce reliance on restrictive retention mechanisms.</w:t>
      </w:r>
    </w:p>
    <w:p>
      <w:pPr>
        <w:pStyle w:val="Heading1"/>
      </w:pPr>
      <w:r>
        <w:rPr>
          <w:color w:val="1F4E79"/>
        </w:rPr>
        <w:t>9. The FutureCount Perspective</w:t>
      </w:r>
    </w:p>
    <w:p>
      <w:pPr>
        <w:shd w:fill="E9EEF3"/>
      </w:pPr>
      <w:r>
        <w:t>FutureCount focuses on aligning service strategy, talent environment, and operational performance to build investable, resilient professional services firms.</w:t>
      </w:r>
    </w:p>
    <w:p>
      <w:pPr>
        <w:pStyle w:val="Heading1"/>
      </w:pPr>
      <w:r>
        <w:rPr>
          <w:color w:val="1F4E79"/>
        </w:rPr>
        <w:t>Conclusion</w:t>
      </w:r>
    </w:p>
    <w:p>
      <w:pPr>
        <w:shd w:fill="E9EEF3"/>
      </w:pPr>
      <w:r>
        <w:t>Firms that embed cultural evolution into the work itself will be better positioned to compete, grow, and partner with capital on their own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