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C8956" w14:textId="48459DFB" w:rsidR="00D30803" w:rsidRDefault="00D30803" w:rsidP="00D30803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Istat: </w:t>
      </w:r>
    </w:p>
    <w:p w14:paraId="274D3A3A" w14:textId="7EDF4C3B" w:rsidR="004237DD" w:rsidRDefault="00D30803" w:rsidP="004237DD">
      <w:pPr>
        <w:jc w:val="both"/>
      </w:pPr>
      <w:r w:rsidRPr="00D30803">
        <w:t>L’Istituto nazionale di statistica è un ente di ricerca pubblico</w:t>
      </w:r>
      <w:r w:rsidR="00083A31">
        <w:t>, dotato di autonomia scientifica e finanziaria. Svolge la propria attività secondo i principi di indipendenza scientifica, imparzialità, affidabilità, qualità e riservatezza dell’informazione statistica.</w:t>
      </w:r>
    </w:p>
    <w:p w14:paraId="411C30E5" w14:textId="5BABA5E4" w:rsidR="004237DD" w:rsidRDefault="00D30803" w:rsidP="004237DD">
      <w:pPr>
        <w:jc w:val="both"/>
      </w:pPr>
      <w:r w:rsidRPr="00D30803">
        <w:t>È presente nel Paese dal 1926 ed è il principale produttore di statistica ufficiale a supporto dei cittadini e dei decisori pubblici.</w:t>
      </w:r>
      <w:r w:rsidR="004237DD">
        <w:t xml:space="preserve"> Per statistica ufficiale si intende l’informazione statistica derivata da norme, concetti, pratiche nazionali e sovranazionali con processi omogenei e condivisi.</w:t>
      </w:r>
    </w:p>
    <w:p w14:paraId="55A4D511" w14:textId="77777777" w:rsidR="00083A31" w:rsidRDefault="00D30803" w:rsidP="004237DD">
      <w:pPr>
        <w:jc w:val="both"/>
      </w:pPr>
      <w:r w:rsidRPr="00D30803">
        <w:t xml:space="preserve">L’organizzazione dell’Istituto è stata ridisegnata con il </w:t>
      </w:r>
      <w:r w:rsidR="004237DD">
        <w:t>DPR 166/2010</w:t>
      </w:r>
      <w:r w:rsidRPr="00D30803">
        <w:t xml:space="preserve">. </w:t>
      </w:r>
    </w:p>
    <w:p w14:paraId="613A4CC1" w14:textId="496B0C57" w:rsidR="00D30803" w:rsidRPr="00D30803" w:rsidRDefault="00D30803" w:rsidP="004237DD">
      <w:pPr>
        <w:jc w:val="both"/>
      </w:pPr>
      <w:r w:rsidRPr="00D30803">
        <w:t>Gli organi di governo sono il Presidente e il Consiglio.</w:t>
      </w:r>
    </w:p>
    <w:p w14:paraId="416C6017" w14:textId="77777777" w:rsidR="00D30803" w:rsidRPr="00D30803" w:rsidRDefault="00D30803" w:rsidP="004237DD">
      <w:pPr>
        <w:jc w:val="both"/>
      </w:pPr>
      <w:r w:rsidRPr="00D30803">
        <w:t>L’Istat fa parte del Sistema Statistico Europeo e collabora con gli altri soggetti del sistema statistico internazionale.</w:t>
      </w:r>
    </w:p>
    <w:p w14:paraId="47AC22AC" w14:textId="77777777" w:rsidR="004237DD" w:rsidRPr="004237DD" w:rsidRDefault="004237DD" w:rsidP="004237DD">
      <w:pPr>
        <w:jc w:val="both"/>
      </w:pPr>
      <w:r w:rsidRPr="004237DD">
        <w:t>La missione dell’Istituto nazionale di statistica è quella di servire la collettività attraverso la produzione e la comunicazione di informazioni statistiche, analisi e previsioni di elevata qualità in ambito economico, sociale e ambientale.</w:t>
      </w:r>
    </w:p>
    <w:p w14:paraId="7CEE66BF" w14:textId="72583B18" w:rsidR="00D30803" w:rsidRDefault="00D30803" w:rsidP="00D30803">
      <w:pPr>
        <w:rPr>
          <w:b/>
          <w:bCs/>
        </w:rPr>
      </w:pPr>
    </w:p>
    <w:p w14:paraId="4687DBD3" w14:textId="77777777" w:rsidR="00202193" w:rsidRDefault="00202193" w:rsidP="00D30803">
      <w:pPr>
        <w:rPr>
          <w:b/>
          <w:bCs/>
        </w:rPr>
      </w:pPr>
    </w:p>
    <w:p w14:paraId="3DE00C0B" w14:textId="1C7B7017" w:rsidR="004D05FA" w:rsidRDefault="004D05FA" w:rsidP="00D30803">
      <w:pPr>
        <w:rPr>
          <w:b/>
          <w:bCs/>
        </w:rPr>
      </w:pPr>
      <w:r>
        <w:rPr>
          <w:b/>
          <w:bCs/>
        </w:rPr>
        <w:t>Uffici territoriali dell’Istat:</w:t>
      </w:r>
    </w:p>
    <w:p w14:paraId="06CE80E7" w14:textId="3634FC14" w:rsidR="004D05FA" w:rsidRDefault="004D05FA" w:rsidP="002A53D5">
      <w:pPr>
        <w:jc w:val="both"/>
      </w:pPr>
      <w:r>
        <w:t xml:space="preserve">Gli </w:t>
      </w:r>
      <w:r w:rsidRPr="004D05FA">
        <w:t>uffici territorial</w:t>
      </w:r>
      <w:r>
        <w:t>i sostengono</w:t>
      </w:r>
      <w:r w:rsidRPr="004D05FA">
        <w:t xml:space="preserve"> la produzione statistica dell’Istituto, </w:t>
      </w:r>
      <w:r>
        <w:t>promuovono</w:t>
      </w:r>
      <w:r w:rsidRPr="004D05FA">
        <w:t xml:space="preserve"> la diffusione delle informazioni e la cultura statistica, </w:t>
      </w:r>
      <w:r>
        <w:t>curano</w:t>
      </w:r>
      <w:r w:rsidRPr="004D05FA">
        <w:t xml:space="preserve"> la formazione e l’assistenza ai soggetti del Sistema statistico nazionale (Sistan) </w:t>
      </w:r>
      <w:r>
        <w:t xml:space="preserve">e </w:t>
      </w:r>
      <w:r w:rsidRPr="004D05FA">
        <w:t>rappresenta</w:t>
      </w:r>
      <w:r>
        <w:t>no</w:t>
      </w:r>
      <w:r w:rsidRPr="004D05FA">
        <w:t xml:space="preserve"> inoltre l’Istituto nel mantenimento e nello sviluppo delle relazioni con le istituzioni, la comunità scientifica e i soggetti Sistan presenti nel territorio.</w:t>
      </w:r>
      <w:r w:rsidR="00E57D53">
        <w:t xml:space="preserve"> C’è un’ufficio di statistica in ogni regione, salvo Trentino Alto Adige (ci sono gli autonomi istituti di statistica delle province autonome) e la Valle d’Aosta.</w:t>
      </w:r>
    </w:p>
    <w:p w14:paraId="29B74D6E" w14:textId="16511138" w:rsidR="009E41E0" w:rsidRPr="002A53D5" w:rsidRDefault="009E41E0" w:rsidP="002A53D5">
      <w:pPr>
        <w:jc w:val="both"/>
      </w:pPr>
      <w:r w:rsidRPr="009E41E0">
        <w:t>Presso ognuna delle 18 regioni in cui gli uffici sono presenti è a disposizione di tutti il Centro di Informazione Statistica (CIS). Il CIS fornisce chiarimenti ed informazioni sulle attività e sulla produzione Istat, permette di richiedere elaborazioni personalizzate, offre supporto per il recupero delle informazioni statistiche prodotte dall’Istat e dal Sistema statistico nazionale.</w:t>
      </w:r>
    </w:p>
    <w:p w14:paraId="195D517F" w14:textId="77777777" w:rsidR="004237DD" w:rsidRDefault="004237DD" w:rsidP="00D30803">
      <w:pPr>
        <w:rPr>
          <w:b/>
          <w:bCs/>
        </w:rPr>
      </w:pPr>
    </w:p>
    <w:p w14:paraId="46E00DBA" w14:textId="77777777" w:rsidR="00202193" w:rsidRDefault="00202193" w:rsidP="00D30803">
      <w:pPr>
        <w:rPr>
          <w:b/>
          <w:bCs/>
        </w:rPr>
      </w:pPr>
    </w:p>
    <w:p w14:paraId="3B9BE072" w14:textId="2F360810" w:rsidR="00D30803" w:rsidRDefault="00D30803" w:rsidP="00D30803">
      <w:pPr>
        <w:rPr>
          <w:b/>
          <w:bCs/>
        </w:rPr>
      </w:pPr>
      <w:r w:rsidRPr="001F1E2A">
        <w:rPr>
          <w:b/>
          <w:bCs/>
        </w:rPr>
        <w:t>Consiglio dell’Istat:</w:t>
      </w:r>
    </w:p>
    <w:p w14:paraId="65FE529F" w14:textId="77777777" w:rsidR="00D30803" w:rsidRDefault="00D30803" w:rsidP="00D30803">
      <w:pPr>
        <w:jc w:val="both"/>
      </w:pPr>
      <w:r>
        <w:t>Il consiglio dell’Istat è l’organo di governo dell’istat, ha funzioni di indirizzo e controllo (come da DPR 166/2010). il Consiglio è composto dal Presidente dell’Istat, che lo presiede, e da quattro membri. Due sono designati, tra i propri componenti, dal Comstat, gli altri due membri sono nominati dal Presidente del Consiglio dei Ministri scelti tra professori ordinari oppure direttori di istituti di statistica o di ricerca statistica.</w:t>
      </w:r>
    </w:p>
    <w:p w14:paraId="68B49C77" w14:textId="6D1327E5" w:rsidR="00D30803" w:rsidRDefault="00D30803" w:rsidP="00D30803">
      <w:pPr>
        <w:jc w:val="both"/>
      </w:pPr>
      <w:r>
        <w:t>I componenti designati durano in carica quattro anni</w:t>
      </w:r>
      <w:r w:rsidR="001941C9">
        <w:t xml:space="preserve">. </w:t>
      </w:r>
    </w:p>
    <w:p w14:paraId="73E360FC" w14:textId="77777777" w:rsidR="00D30803" w:rsidRDefault="00D30803" w:rsidP="00D30803">
      <w:pPr>
        <w:jc w:val="both"/>
      </w:pPr>
      <w:r>
        <w:t>Partecipa alle riunioni il Direttore generale dell’Istat.</w:t>
      </w:r>
    </w:p>
    <w:p w14:paraId="6B4DABE2" w14:textId="3D3CEE79" w:rsidR="004237DD" w:rsidRDefault="004237DD" w:rsidP="00D30803"/>
    <w:p w14:paraId="6595644F" w14:textId="77777777" w:rsidR="00202193" w:rsidRDefault="00202193" w:rsidP="00D30803"/>
    <w:p w14:paraId="01BC0573" w14:textId="77777777" w:rsidR="00D30803" w:rsidRPr="00E41ABC" w:rsidRDefault="00D30803" w:rsidP="00D30803">
      <w:pPr>
        <w:rPr>
          <w:b/>
          <w:bCs/>
        </w:rPr>
      </w:pPr>
      <w:r w:rsidRPr="00E41ABC">
        <w:rPr>
          <w:b/>
          <w:bCs/>
        </w:rPr>
        <w:t>Presidente dell’Istat:</w:t>
      </w:r>
    </w:p>
    <w:p w14:paraId="2529B2EB" w14:textId="75498041" w:rsidR="00D30803" w:rsidRDefault="00D30803" w:rsidP="00D30803">
      <w:pPr>
        <w:jc w:val="both"/>
      </w:pPr>
      <w:r>
        <w:t>il Presidente dell’Istituto è nominato con decreto del Presidente della Repubblica, su proposta del Presidente del Consiglio, previa deliberazione del Consiglio dei ministri.</w:t>
      </w:r>
    </w:p>
    <w:p w14:paraId="4BC1A64F" w14:textId="77777777" w:rsidR="00D30803" w:rsidRDefault="00D30803" w:rsidP="00D30803">
      <w:pPr>
        <w:jc w:val="both"/>
      </w:pPr>
      <w:r>
        <w:t>È scelto fra i professori ordinari di materie statistiche, economiche e affini; la sua carica dura quattro anni e può essere rinnovata una sola volta.</w:t>
      </w:r>
    </w:p>
    <w:p w14:paraId="5F15F35F" w14:textId="77777777" w:rsidR="00D30803" w:rsidRDefault="00D30803" w:rsidP="00D30803">
      <w:pPr>
        <w:jc w:val="both"/>
      </w:pPr>
      <w:r>
        <w:t>È il rappresentante legale dell’Istituto per le questioni di carattere generale, sovrintende all’andamento dell’Istat e ne assicura il coordinamento tecnico scientifico. Cura i rapporti istituzionali e con le organizzazioni internazionali. Verifica l’attuazione degli indirizzi espressi dal Consiglio.</w:t>
      </w:r>
    </w:p>
    <w:p w14:paraId="26FFA785" w14:textId="1DC7F18B" w:rsidR="00D30803" w:rsidRDefault="00D30803" w:rsidP="00D30803"/>
    <w:p w14:paraId="1A8A1F77" w14:textId="77777777" w:rsidR="004237DD" w:rsidRDefault="004237DD" w:rsidP="00D30803"/>
    <w:p w14:paraId="38CA5616" w14:textId="77777777" w:rsidR="00D30803" w:rsidRPr="00E41ABC" w:rsidRDefault="00D30803" w:rsidP="00D30803">
      <w:pPr>
        <w:rPr>
          <w:b/>
          <w:bCs/>
        </w:rPr>
      </w:pPr>
      <w:r w:rsidRPr="00E41ABC">
        <w:rPr>
          <w:b/>
          <w:bCs/>
        </w:rPr>
        <w:t>Collegio dei revisori dei conti:</w:t>
      </w:r>
    </w:p>
    <w:p w14:paraId="45554962" w14:textId="77777777" w:rsidR="00D30803" w:rsidRDefault="00D30803" w:rsidP="00D30803">
      <w:r>
        <w:lastRenderedPageBreak/>
        <w:t>Il Collegio dei revisori dei conti accerta la regolare tenuta della contabilità e la coerenza fra il bilancio consuntivo e le scritture contabili. Inoltre, verifica i risultati conseguiti dall’Istituto rispetto agli obiettivi prefissati.</w:t>
      </w:r>
    </w:p>
    <w:p w14:paraId="08634F08" w14:textId="66672CB5" w:rsidR="00D30803" w:rsidRPr="00D30803" w:rsidRDefault="00D30803" w:rsidP="00D30803">
      <w:r>
        <w:t>È nominato per la durata di tre anni con decreto del Presidente del Consiglio dei ministri ed è composto da tre membri: da un magistrato del Consiglio di Stato, che ha funzioni di presidente, un dirigente della Presidenza del Consiglio e un dirigente del Ministero dell’economia e delle finanze.</w:t>
      </w:r>
    </w:p>
    <w:p w14:paraId="580B1119" w14:textId="3FE5D406" w:rsidR="00D30803" w:rsidRDefault="00D30803" w:rsidP="00566617">
      <w:pPr>
        <w:jc w:val="both"/>
        <w:rPr>
          <w:b/>
          <w:bCs/>
        </w:rPr>
      </w:pPr>
    </w:p>
    <w:p w14:paraId="6F03C211" w14:textId="77777777" w:rsidR="004237DD" w:rsidRDefault="004237DD" w:rsidP="00566617">
      <w:pPr>
        <w:jc w:val="both"/>
        <w:rPr>
          <w:b/>
          <w:bCs/>
        </w:rPr>
      </w:pPr>
    </w:p>
    <w:p w14:paraId="3606C6ED" w14:textId="64DB9C61" w:rsidR="00FE6E0C" w:rsidRPr="00DD3BDC" w:rsidRDefault="00DD3BDC" w:rsidP="00566617">
      <w:pPr>
        <w:jc w:val="both"/>
        <w:rPr>
          <w:b/>
          <w:bCs/>
        </w:rPr>
      </w:pPr>
      <w:r w:rsidRPr="00DD3BDC">
        <w:rPr>
          <w:b/>
          <w:bCs/>
        </w:rPr>
        <w:t>Sistan:</w:t>
      </w:r>
    </w:p>
    <w:p w14:paraId="7DA07AAC" w14:textId="2DF39650" w:rsidR="00DD3BDC" w:rsidRDefault="008D601F" w:rsidP="00566617">
      <w:pPr>
        <w:jc w:val="both"/>
      </w:pPr>
      <w:r>
        <w:t xml:space="preserve">Il sistema statistico nazionale è la rete di soggetti pubblici (Istat, istituto nazionale per l’analisi delle politiche pubbliche </w:t>
      </w:r>
      <w:r w:rsidR="00202F97">
        <w:t>Inapp</w:t>
      </w:r>
      <w:r>
        <w:t>, uffici di statistica delle amministrazioni pubbliche (e.g. ministeri) e territoriali (comuni, province, regioni)</w:t>
      </w:r>
      <w:r w:rsidR="003364AC">
        <w:t>, camere di commercio</w:t>
      </w:r>
      <w:r>
        <w:t xml:space="preserve">) e privati (che svolgono funzioni di interesse pubblico, tipo il consorzio interuniversitario AlmaLaurea o le Poste o le Ferrovie dello Stato) che fornisce al paese e agli organismi internazionali l’informazione statistica </w:t>
      </w:r>
    </w:p>
    <w:p w14:paraId="2043F5FA" w14:textId="216478C5" w:rsidR="008D601F" w:rsidRDefault="003364AC" w:rsidP="00566617">
      <w:pPr>
        <w:jc w:val="both"/>
      </w:pPr>
      <w:r>
        <w:t>Raggruppa all’incirca 3.400 uffici statistici</w:t>
      </w:r>
      <w:r w:rsidR="00226756">
        <w:t>, è stato istituito dal decreto legislativo 322 del 1989.</w:t>
      </w:r>
    </w:p>
    <w:p w14:paraId="76115695" w14:textId="6D6E635A" w:rsidR="003364AC" w:rsidRDefault="003364AC" w:rsidP="00566617">
      <w:pPr>
        <w:jc w:val="both"/>
      </w:pPr>
      <w:r>
        <w:t xml:space="preserve">Ha compiti di </w:t>
      </w:r>
      <w:r w:rsidR="00E468F2">
        <w:t xml:space="preserve">indirizzo e </w:t>
      </w:r>
      <w:r>
        <w:t>co</w:t>
      </w:r>
      <w:r w:rsidR="0061540B">
        <w:t>o</w:t>
      </w:r>
      <w:r>
        <w:t>rdinamento</w:t>
      </w:r>
      <w:r w:rsidR="0061540B">
        <w:t xml:space="preserve"> degli enti produttori di statistica, per consentire una gestione più efficace dell’attività statistica nazionale.</w:t>
      </w:r>
    </w:p>
    <w:p w14:paraId="7EAC8080" w14:textId="1FF91BA1" w:rsidR="0061540B" w:rsidRDefault="0061540B" w:rsidP="00566617">
      <w:pPr>
        <w:jc w:val="both"/>
      </w:pPr>
      <w:r>
        <w:t>L’Istat svolge un ruolo di indirizzo, coordinamento e assistenza tecnica, coadiuvato dal Comstat.</w:t>
      </w:r>
    </w:p>
    <w:p w14:paraId="32A5A177" w14:textId="7E3908D9" w:rsidR="0061540B" w:rsidRDefault="0061540B" w:rsidP="00566617">
      <w:pPr>
        <w:jc w:val="both"/>
      </w:pPr>
    </w:p>
    <w:p w14:paraId="6D1564A4" w14:textId="77777777" w:rsidR="004237DD" w:rsidRDefault="004237DD" w:rsidP="00566617">
      <w:pPr>
        <w:jc w:val="both"/>
      </w:pPr>
    </w:p>
    <w:p w14:paraId="2EFA95FF" w14:textId="3AC2EBB5" w:rsidR="0061540B" w:rsidRPr="0061540B" w:rsidRDefault="0061540B" w:rsidP="00566617">
      <w:pPr>
        <w:jc w:val="both"/>
        <w:rPr>
          <w:b/>
          <w:bCs/>
        </w:rPr>
      </w:pPr>
      <w:r w:rsidRPr="0061540B">
        <w:rPr>
          <w:b/>
          <w:bCs/>
        </w:rPr>
        <w:t>Comstat:</w:t>
      </w:r>
    </w:p>
    <w:p w14:paraId="2F320CAC" w14:textId="2B95D03F" w:rsidR="00226756" w:rsidRDefault="00E468F2" w:rsidP="00566617">
      <w:pPr>
        <w:jc w:val="both"/>
      </w:pPr>
      <w:r>
        <w:t>Comitato di indirizzo e coordinamento del sistema statistico nazionale.</w:t>
      </w:r>
    </w:p>
    <w:p w14:paraId="2D62C692" w14:textId="1593D141" w:rsidR="00E468F2" w:rsidRDefault="00E468F2" w:rsidP="00566617">
      <w:pPr>
        <w:jc w:val="both"/>
      </w:pPr>
      <w:r>
        <w:t>E’ l’organo di governo del Sistan, ha compiti di indirizzo e coordinamento dell’attività degli uffici di statistica facenti parte del Sistan, su cui esercita funzioni direttive</w:t>
      </w:r>
      <w:r w:rsidR="007C492C">
        <w:t xml:space="preserve"> (ad esempio emanando direttive sulla qualità della statistica ufficiale o linee di indirizzo sulla qualità della diffusione del dato statistico). </w:t>
      </w:r>
      <w:r>
        <w:t xml:space="preserve">Delibera il Programma Statistico Nazionale (PSN). </w:t>
      </w:r>
    </w:p>
    <w:p w14:paraId="4493BBF4" w14:textId="6446B449" w:rsidR="00E468F2" w:rsidRDefault="00E468F2" w:rsidP="00566617">
      <w:pPr>
        <w:jc w:val="both"/>
      </w:pPr>
      <w:r>
        <w:t>Come da DPR 166/2010, è costituito da 15 membri, dura in carica 4 anni, i membri possono essere rinnovati per non più di due volte, ne fa parte di diritto il presidente dell’Istat, poi rappresentati del MEF e di altre amministrazioni statali</w:t>
      </w:r>
      <w:r w:rsidR="007C492C">
        <w:t xml:space="preserve"> o enti pubblici</w:t>
      </w:r>
      <w:r>
        <w:t>, rappresentati degli enti locali, e due professori di prima fascia in materie statistiche o economiche.</w:t>
      </w:r>
    </w:p>
    <w:p w14:paraId="481A2CDF" w14:textId="68C2D280" w:rsidR="007C492C" w:rsidRDefault="007C492C" w:rsidP="00566617">
      <w:pPr>
        <w:jc w:val="both"/>
        <w:rPr>
          <w:b/>
          <w:bCs/>
        </w:rPr>
      </w:pPr>
    </w:p>
    <w:p w14:paraId="15125A22" w14:textId="77777777" w:rsidR="004237DD" w:rsidRDefault="004237DD" w:rsidP="00566617">
      <w:pPr>
        <w:jc w:val="both"/>
        <w:rPr>
          <w:b/>
          <w:bCs/>
        </w:rPr>
      </w:pPr>
    </w:p>
    <w:p w14:paraId="1E222597" w14:textId="7CCB18A1" w:rsidR="007C492C" w:rsidRDefault="00566617" w:rsidP="00566617">
      <w:pPr>
        <w:jc w:val="both"/>
        <w:rPr>
          <w:b/>
          <w:bCs/>
        </w:rPr>
      </w:pPr>
      <w:r>
        <w:rPr>
          <w:b/>
          <w:bCs/>
        </w:rPr>
        <w:t>Cogis:</w:t>
      </w:r>
    </w:p>
    <w:p w14:paraId="167CC7E9" w14:textId="22BDA776" w:rsidR="00566617" w:rsidRDefault="004A749F" w:rsidP="00FB49B0">
      <w:pPr>
        <w:jc w:val="both"/>
      </w:pPr>
      <w:r w:rsidRPr="004A749F">
        <w:t>Commissione per la garanzia e la qualità dell’informazione statistica.</w:t>
      </w:r>
    </w:p>
    <w:p w14:paraId="5A336DCC" w14:textId="03DD1B29" w:rsidR="00B51784" w:rsidRDefault="004A749F" w:rsidP="00FB49B0">
      <w:pPr>
        <w:jc w:val="both"/>
      </w:pPr>
      <w:r>
        <w:t>E’ un organo esterno e indipendente dal Sistan che vigila sulle attività del Sistan</w:t>
      </w:r>
      <w:r w:rsidR="00B51784">
        <w:t xml:space="preserve"> (</w:t>
      </w:r>
      <w:r w:rsidR="00B51784" w:rsidRPr="00B51784">
        <w:t>sull</w:t>
      </w:r>
      <w:r w:rsidR="00B51784" w:rsidRPr="00FB49B0">
        <w:rPr>
          <w:b/>
          <w:bCs/>
        </w:rPr>
        <w:t>'imparzialità</w:t>
      </w:r>
      <w:r w:rsidR="00B51784" w:rsidRPr="00B51784">
        <w:t xml:space="preserve">, sulla </w:t>
      </w:r>
      <w:r w:rsidR="00B51784" w:rsidRPr="00FB49B0">
        <w:rPr>
          <w:b/>
          <w:bCs/>
        </w:rPr>
        <w:t>completezza</w:t>
      </w:r>
      <w:r w:rsidR="00B51784" w:rsidRPr="00B51784">
        <w:t xml:space="preserve"> e sulla </w:t>
      </w:r>
      <w:r w:rsidR="00B51784" w:rsidRPr="00FB49B0">
        <w:rPr>
          <w:b/>
          <w:bCs/>
        </w:rPr>
        <w:t>qualità</w:t>
      </w:r>
      <w:r w:rsidR="00B51784" w:rsidRPr="00B51784">
        <w:t xml:space="preserve"> dell'informazione statistica</w:t>
      </w:r>
      <w:r w:rsidR="00B51784">
        <w:t>,</w:t>
      </w:r>
      <w:r w:rsidR="00B51784" w:rsidRPr="00B51784">
        <w:t xml:space="preserve"> sulla sua conformità con i regolamenti</w:t>
      </w:r>
      <w:r w:rsidR="00B51784">
        <w:t xml:space="preserve"> anche internazionali</w:t>
      </w:r>
      <w:r w:rsidR="00057A60">
        <w:t>, sul rispetto delle normative sul segreto statistico e sulla protezione dei dati personali).</w:t>
      </w:r>
      <w:r w:rsidR="00B51784" w:rsidRPr="00B51784">
        <w:br/>
      </w:r>
      <w:r w:rsidR="00FB49B0">
        <w:t xml:space="preserve">E’ formato da 5 esperti (professori universitari di prima fascia o alti dirigenti ma non di uffici </w:t>
      </w:r>
      <w:r w:rsidR="00FB49B0">
        <w:br/>
        <w:t>Sistan), i membri sono nominati dal PdR su proposta del PdC per 5 anni (non rinnovabili).</w:t>
      </w:r>
      <w:r w:rsidR="004F3F48">
        <w:t xml:space="preserve"> Redige un rapporto al parlamento. </w:t>
      </w:r>
      <w:r w:rsidR="003D3368">
        <w:t xml:space="preserve">Può formulare rilievi al presidente dell’Istat, che deve rispondere in 30 giorni. In caso i chiarimenti non sono esaustivi la commissione ne informa il presidente del consiglio. </w:t>
      </w:r>
    </w:p>
    <w:p w14:paraId="1202758D" w14:textId="7C1897D3" w:rsidR="00FB49B0" w:rsidRDefault="00FB49B0" w:rsidP="00FB49B0">
      <w:pPr>
        <w:jc w:val="both"/>
      </w:pPr>
    </w:p>
    <w:p w14:paraId="568572CF" w14:textId="77777777" w:rsidR="004237DD" w:rsidRDefault="004237DD" w:rsidP="00FB49B0">
      <w:pPr>
        <w:jc w:val="both"/>
      </w:pPr>
    </w:p>
    <w:p w14:paraId="3A893917" w14:textId="6A345C18" w:rsidR="00FB49B0" w:rsidRDefault="008664C7" w:rsidP="00FB49B0">
      <w:pPr>
        <w:jc w:val="both"/>
        <w:rPr>
          <w:b/>
          <w:bCs/>
        </w:rPr>
      </w:pPr>
      <w:r w:rsidRPr="008664C7">
        <w:rPr>
          <w:b/>
          <w:bCs/>
        </w:rPr>
        <w:t>Cuis:</w:t>
      </w:r>
    </w:p>
    <w:p w14:paraId="75BDF316" w14:textId="03D0C3BC" w:rsidR="008664C7" w:rsidRDefault="008664C7" w:rsidP="00FB49B0">
      <w:pPr>
        <w:jc w:val="both"/>
      </w:pPr>
      <w:r w:rsidRPr="008664C7">
        <w:t>Commissione degli utenti dell’informazione statistica</w:t>
      </w:r>
      <w:r>
        <w:t>.</w:t>
      </w:r>
    </w:p>
    <w:p w14:paraId="7300C9D6" w14:textId="083CC892" w:rsidR="00D1298E" w:rsidRDefault="008664C7" w:rsidP="00D1298E">
      <w:pPr>
        <w:jc w:val="both"/>
      </w:pPr>
      <w:r>
        <w:t>E’ un organo consultivo, che rappresenta la domanda di informazione statistica e contribuisce al miglioramento della produzione statistica ufficiale</w:t>
      </w:r>
      <w:r w:rsidR="00D1298E">
        <w:t>. Valuta la rispondenza della statistica ufficiale alle esigenze degli utilizzatori</w:t>
      </w:r>
      <w:r>
        <w:t xml:space="preserve">. </w:t>
      </w:r>
    </w:p>
    <w:p w14:paraId="1021DCB7" w14:textId="5FB92C18" w:rsidR="00FB49B0" w:rsidRDefault="00D1298E" w:rsidP="00B51784">
      <w:r>
        <w:t>Ha terminato il proprio mandato.</w:t>
      </w:r>
    </w:p>
    <w:p w14:paraId="5DDD6D22" w14:textId="58926476" w:rsidR="00D1298E" w:rsidRDefault="00D1298E" w:rsidP="00B51784"/>
    <w:p w14:paraId="0324E6FA" w14:textId="77777777" w:rsidR="004237DD" w:rsidRDefault="004237DD" w:rsidP="00B51784"/>
    <w:p w14:paraId="1BC7123B" w14:textId="30462425" w:rsidR="00D1298E" w:rsidRPr="00D1298E" w:rsidRDefault="00D1298E" w:rsidP="00B51784">
      <w:pPr>
        <w:rPr>
          <w:b/>
          <w:bCs/>
        </w:rPr>
      </w:pPr>
      <w:r w:rsidRPr="00D1298E">
        <w:rPr>
          <w:b/>
          <w:bCs/>
        </w:rPr>
        <w:t>Programma Statistico Nazionale:</w:t>
      </w:r>
    </w:p>
    <w:p w14:paraId="6EA20396" w14:textId="1B5037FA" w:rsidR="00D1298E" w:rsidRDefault="00D1298E" w:rsidP="00CE7379">
      <w:pPr>
        <w:jc w:val="both"/>
      </w:pPr>
      <w:r>
        <w:t>Il programma statistico nazionale è l’atto normativo con cui sono stabilite</w:t>
      </w:r>
      <w:r w:rsidRPr="00D1298E">
        <w:t xml:space="preserve"> le rilevazioni statistiche di interesse pubblico affidate al </w:t>
      </w:r>
      <w:r>
        <w:t>Sistan</w:t>
      </w:r>
      <w:r w:rsidR="008A36B9">
        <w:t>, e i loro obiettivi</w:t>
      </w:r>
      <w:r>
        <w:t>.</w:t>
      </w:r>
    </w:p>
    <w:p w14:paraId="776E5182" w14:textId="302BA4C2" w:rsidR="00D1298E" w:rsidRDefault="00D1298E" w:rsidP="00CE7379">
      <w:pPr>
        <w:jc w:val="both"/>
      </w:pPr>
      <w:r>
        <w:t xml:space="preserve">Il programma viene deliberato ogni triennio, ma aggiornato ogni anno. </w:t>
      </w:r>
    </w:p>
    <w:p w14:paraId="4E8E6906" w14:textId="3F0A2A24" w:rsidR="00F53494" w:rsidRPr="00F53494" w:rsidRDefault="00F53494" w:rsidP="00CE7379">
      <w:pPr>
        <w:jc w:val="both"/>
      </w:pPr>
      <w:r>
        <w:t>Le linee di indirizzo sono dettate dal Comstat, il PSN viene elaborato attraverso i circoli di qualità, viene deliberato dal Comstat, è sottoposto ai pareri della Cogis, della conferenza unificata Stato-Regioni-Autonomie Locali, del garante della privacy</w:t>
      </w:r>
      <w:r w:rsidR="00B62EAA">
        <w:t>. E’ approvato con DPR dopo deliberazione</w:t>
      </w:r>
      <w:r>
        <w:t xml:space="preserve"> del CIPE (comitato interministeriale per la programmazione economica). </w:t>
      </w:r>
      <w:r w:rsidRPr="00F53494">
        <w:t>Nel Programma statistico nazionale sono riportate alcune indicazioni sul trattamento dei dati personali</w:t>
      </w:r>
      <w:r>
        <w:t xml:space="preserve"> (identificazione del soggetto)</w:t>
      </w:r>
      <w:r w:rsidRPr="00F53494">
        <w:t xml:space="preserve">, sensibili </w:t>
      </w:r>
      <w:r w:rsidR="00CE7379">
        <w:t>(</w:t>
      </w:r>
      <w:r w:rsidR="00CE7379" w:rsidRPr="00CE7379">
        <w:t>l’origine etnica, le convinzioni religiose, fìlosofiche</w:t>
      </w:r>
      <w:r w:rsidR="00CE7379">
        <w:t xml:space="preserve">, politiche, stato di salute, vita sessuale) </w:t>
      </w:r>
      <w:r w:rsidRPr="00F53494">
        <w:t>giudiziari</w:t>
      </w:r>
      <w:r>
        <w:t xml:space="preserve"> e anche la disciplina dell’obbligo di risposta (con eventuali sanzioni).</w:t>
      </w:r>
    </w:p>
    <w:p w14:paraId="4212F999" w14:textId="2A885531" w:rsidR="00B12E21" w:rsidRDefault="00B12E21" w:rsidP="00D1298E">
      <w:pPr>
        <w:rPr>
          <w:b/>
          <w:bCs/>
        </w:rPr>
      </w:pPr>
    </w:p>
    <w:p w14:paraId="665F1CD4" w14:textId="77777777" w:rsidR="0001040F" w:rsidRDefault="0001040F" w:rsidP="0001040F">
      <w:pPr>
        <w:jc w:val="both"/>
        <w:rPr>
          <w:b/>
          <w:bCs/>
        </w:rPr>
      </w:pPr>
      <w:r>
        <w:rPr>
          <w:b/>
          <w:bCs/>
        </w:rPr>
        <w:t>Privacy:</w:t>
      </w:r>
    </w:p>
    <w:p w14:paraId="69E1D51E" w14:textId="77777777" w:rsidR="0001040F" w:rsidRDefault="0001040F" w:rsidP="0001040F">
      <w:pPr>
        <w:jc w:val="both"/>
      </w:pPr>
      <w:r w:rsidRPr="00A67D39">
        <w:t xml:space="preserve">Per quanto riguarda la tutela del segreto d’ufficio, del segreto statistico </w:t>
      </w:r>
      <w:r>
        <w:t xml:space="preserve">(dati esternati solo in forma aggregata, senza possibilità di individuare le persone) </w:t>
      </w:r>
      <w:r w:rsidRPr="00A67D39">
        <w:t xml:space="preserve">e dei dati personali, </w:t>
      </w:r>
      <w:r>
        <w:t>ci si riferisce sempre al Dlgs 322/1989. Si osserva il regolamento in materia di protezione dei dati personali (GDPR: regolamento generale sulla protezione dei dati personali, della UE) e il rispettivo codice nazionale (Dlgs 196/2003), in cui si specificano obblighi e doveri, tra cui l’informativa sulla privacy. Si applica anche la specifica delibera del garante per la protezione dei dati personali (garante della privacy) sulle regole deontologiche per il Sistan.</w:t>
      </w:r>
    </w:p>
    <w:p w14:paraId="17B9D384" w14:textId="77777777" w:rsidR="0001040F" w:rsidRDefault="0001040F" w:rsidP="0001040F">
      <w:pPr>
        <w:jc w:val="both"/>
      </w:pPr>
    </w:p>
    <w:p w14:paraId="086935A9" w14:textId="7F5B2041" w:rsidR="0001040F" w:rsidRDefault="0001040F" w:rsidP="0001040F">
      <w:pPr>
        <w:jc w:val="both"/>
      </w:pPr>
      <w:r>
        <w:t xml:space="preserve"> </w:t>
      </w:r>
    </w:p>
    <w:p w14:paraId="473C4A0B" w14:textId="77777777" w:rsidR="0001040F" w:rsidRPr="00D024B9" w:rsidRDefault="0001040F" w:rsidP="0001040F">
      <w:pPr>
        <w:jc w:val="both"/>
        <w:rPr>
          <w:b/>
          <w:bCs/>
        </w:rPr>
      </w:pPr>
      <w:r w:rsidRPr="00D024B9">
        <w:rPr>
          <w:b/>
          <w:bCs/>
        </w:rPr>
        <w:t>Decreto Legislativo 322 del 1989:</w:t>
      </w:r>
    </w:p>
    <w:p w14:paraId="6EF163EE" w14:textId="77777777" w:rsidR="0001040F" w:rsidRDefault="0001040F" w:rsidP="0001040F">
      <w:pPr>
        <w:jc w:val="both"/>
      </w:pPr>
      <w:r>
        <w:t>Norme sull’ordinamento e il funzionamento del Sistat.</w:t>
      </w:r>
    </w:p>
    <w:p w14:paraId="3D939CCB" w14:textId="77777777" w:rsidR="0001040F" w:rsidRDefault="0001040F" w:rsidP="0001040F">
      <w:pPr>
        <w:jc w:val="both"/>
      </w:pPr>
      <w:r>
        <w:t>Trattamento dei dati personali.</w:t>
      </w:r>
    </w:p>
    <w:p w14:paraId="62F2F0FC" w14:textId="77777777" w:rsidR="0001040F" w:rsidRDefault="0001040F" w:rsidP="0001040F">
      <w:pPr>
        <w:jc w:val="both"/>
      </w:pPr>
      <w:r>
        <w:t>Obbligo di fornire dati statistici: per tutte le amministrazioni, ma anche per i soggetti privati. In questo caso le indagini con obbligo di risposta sono elencate nel PSN.</w:t>
      </w:r>
    </w:p>
    <w:p w14:paraId="1D13DA33" w14:textId="77777777" w:rsidR="0001040F" w:rsidRDefault="0001040F" w:rsidP="0001040F">
      <w:pPr>
        <w:jc w:val="both"/>
      </w:pPr>
      <w:r>
        <w:t>Segreto d’ufficio.</w:t>
      </w:r>
    </w:p>
    <w:p w14:paraId="1DA6AA86" w14:textId="77777777" w:rsidR="0001040F" w:rsidRDefault="0001040F" w:rsidP="0001040F">
      <w:pPr>
        <w:jc w:val="both"/>
      </w:pPr>
      <w:r>
        <w:t>Segreto statistico.</w:t>
      </w:r>
    </w:p>
    <w:p w14:paraId="1DE8A1E9" w14:textId="77777777" w:rsidR="0001040F" w:rsidRDefault="0001040F" w:rsidP="0001040F">
      <w:pPr>
        <w:jc w:val="both"/>
      </w:pPr>
      <w:r>
        <w:t>Accesso ai dati.</w:t>
      </w:r>
    </w:p>
    <w:p w14:paraId="00982936" w14:textId="77777777" w:rsidR="0001040F" w:rsidRDefault="0001040F" w:rsidP="0001040F">
      <w:pPr>
        <w:jc w:val="both"/>
      </w:pPr>
      <w:r>
        <w:t>Cogis</w:t>
      </w:r>
    </w:p>
    <w:p w14:paraId="6871AD9E" w14:textId="77777777" w:rsidR="0001040F" w:rsidRPr="00B62EAA" w:rsidRDefault="0001040F" w:rsidP="0001040F">
      <w:pPr>
        <w:jc w:val="both"/>
      </w:pPr>
      <w:r>
        <w:t>Organizzazione e funzioni dell’Istat (poi superato dal dpr 166/2010)</w:t>
      </w:r>
    </w:p>
    <w:p w14:paraId="4B390AC6" w14:textId="77777777" w:rsidR="0001040F" w:rsidRDefault="0001040F" w:rsidP="00D1298E">
      <w:pPr>
        <w:rPr>
          <w:b/>
          <w:bCs/>
        </w:rPr>
      </w:pPr>
    </w:p>
    <w:p w14:paraId="6ED9DE7E" w14:textId="77777777" w:rsidR="00B12E21" w:rsidRDefault="00B12E21" w:rsidP="00D1298E">
      <w:pPr>
        <w:rPr>
          <w:b/>
          <w:bCs/>
        </w:rPr>
      </w:pPr>
    </w:p>
    <w:p w14:paraId="155C6186" w14:textId="6CFE323A" w:rsidR="00F53494" w:rsidRDefault="00125984" w:rsidP="00D1298E">
      <w:pPr>
        <w:rPr>
          <w:b/>
          <w:bCs/>
        </w:rPr>
      </w:pPr>
      <w:r w:rsidRPr="00125984">
        <w:rPr>
          <w:b/>
          <w:bCs/>
        </w:rPr>
        <w:t>Circoli di qualità</w:t>
      </w:r>
      <w:r>
        <w:rPr>
          <w:b/>
          <w:bCs/>
        </w:rPr>
        <w:t>:</w:t>
      </w:r>
    </w:p>
    <w:p w14:paraId="06DE9496" w14:textId="7A4CCC5A" w:rsidR="00125984" w:rsidRDefault="00125984" w:rsidP="00D1298E">
      <w:r w:rsidRPr="00125984">
        <w:t xml:space="preserve">Gruppi di lavoro </w:t>
      </w:r>
      <w:r>
        <w:t xml:space="preserve">di cui si avvale l’Istat nella predisposizione del PSN. </w:t>
      </w:r>
      <w:r w:rsidR="001F1E2A">
        <w:t xml:space="preserve">Ogni modifica ai lavori, o ogni proposta di nuovi lavori, deve essere discussa e vagliata all’interno dei circoli. Nei circoli partecipano rappresentanti Sistan e non Sistan. I circoli di qualità sono </w:t>
      </w:r>
      <w:r w:rsidR="00E41ABC">
        <w:t xml:space="preserve">16, sono </w:t>
      </w:r>
      <w:r w:rsidR="001F1E2A">
        <w:t>circoli tematici (</w:t>
      </w:r>
      <w:r w:rsidR="00D1103A">
        <w:t xml:space="preserve">lavoro, salute, istruzione, turismo etc…) + 2 trasversali (benessere e sostenibilità, indicatori e metodologie per la valutazione delle policy). </w:t>
      </w:r>
    </w:p>
    <w:p w14:paraId="1AA01A2A" w14:textId="41E01B23" w:rsidR="001F1E2A" w:rsidRDefault="001F1E2A" w:rsidP="00D1298E"/>
    <w:p w14:paraId="04C5A0F7" w14:textId="13B32ADB" w:rsidR="009E41E0" w:rsidRPr="009E41E0" w:rsidRDefault="009E41E0" w:rsidP="009E41E0">
      <w:pPr>
        <w:rPr>
          <w:b/>
          <w:bCs/>
        </w:rPr>
      </w:pPr>
      <w:r w:rsidRPr="009E41E0">
        <w:rPr>
          <w:b/>
          <w:bCs/>
        </w:rPr>
        <w:t>Relazione annuale al parlamento:</w:t>
      </w:r>
    </w:p>
    <w:p w14:paraId="38048AEC" w14:textId="43C72AC3" w:rsidR="009E41E0" w:rsidRDefault="009E41E0" w:rsidP="00D1298E">
      <w:r>
        <w:t>Il DLgs  322/1989 prevede che il Presidente del Consiglio dei Ministri trasmetta annualmente al Parlamento una relazione sulle attività svolte dall’Istat e dagli altri enti operanti nel Sistema statistico nazionale (Sistan) nel corso dell’anno precedente. ì</w:t>
      </w:r>
    </w:p>
    <w:p w14:paraId="71DDB3BD" w14:textId="77777777" w:rsidR="004237DD" w:rsidRDefault="004237DD" w:rsidP="00D1298E"/>
    <w:p w14:paraId="3BCC0E16" w14:textId="20EC868F" w:rsidR="004237DD" w:rsidRPr="00B12E21" w:rsidRDefault="00B12E21" w:rsidP="00D1298E">
      <w:pPr>
        <w:rPr>
          <w:b/>
          <w:bCs/>
        </w:rPr>
      </w:pPr>
      <w:r w:rsidRPr="00B12E21">
        <w:rPr>
          <w:b/>
          <w:bCs/>
        </w:rPr>
        <w:t>Eurostat:</w:t>
      </w:r>
    </w:p>
    <w:p w14:paraId="5F4C209D" w14:textId="1F6B2EC0" w:rsidR="004237DD" w:rsidRDefault="001C7CB8" w:rsidP="006B4E01">
      <w:pPr>
        <w:jc w:val="both"/>
      </w:pPr>
      <w:r>
        <w:t>Eurostat (o meglio detto Autorità statistica generale dell’Unione Europea) è l’ufficio di statistica dell’Unione Europea, giuridicamente è una direzione generale della Commissione Europea</w:t>
      </w:r>
      <w:r w:rsidR="006B4E01">
        <w:t>, sotto il commissario all’Economia</w:t>
      </w:r>
      <w:r>
        <w:t xml:space="preserve">. </w:t>
      </w:r>
      <w:r w:rsidR="002D27A6" w:rsidRPr="00E25506">
        <w:t>I suoi compiti sono definiti dal regolamento 2</w:t>
      </w:r>
      <w:r w:rsidR="002D27A6">
        <w:t>23/2009 sulle statistiche europee</w:t>
      </w:r>
    </w:p>
    <w:p w14:paraId="446EFE85" w14:textId="3ED491E2" w:rsidR="004237DD" w:rsidRDefault="00E25506" w:rsidP="006B4E01">
      <w:pPr>
        <w:jc w:val="both"/>
      </w:pPr>
      <w:r>
        <w:t>Il suo compito è la produzione statistica di qualità a livello europeo, e per questo si avvale (e coordina) il sistema statistico europeo.</w:t>
      </w:r>
    </w:p>
    <w:p w14:paraId="7BED6131" w14:textId="1A48A2DD" w:rsidR="00E25506" w:rsidRDefault="00E25506" w:rsidP="006B4E01">
      <w:pPr>
        <w:jc w:val="both"/>
      </w:pPr>
      <w:r>
        <w:t>A livello di Unione Europea Eurostat assicura la produzione delle statistiche europee secondo regole e definizioni condivise, assicurando consistenza</w:t>
      </w:r>
      <w:r w:rsidR="006B4E01">
        <w:t xml:space="preserve"> a livello comunitario</w:t>
      </w:r>
      <w:r>
        <w:t xml:space="preserve"> e qualità dei dati.</w:t>
      </w:r>
    </w:p>
    <w:p w14:paraId="09E06141" w14:textId="47F3B61A" w:rsidR="00E25506" w:rsidRDefault="00E25506" w:rsidP="006B4E01">
      <w:pPr>
        <w:jc w:val="both"/>
      </w:pPr>
      <w:r>
        <w:t>A livello di Commissione Europea, Eurostat coordina le attività statistiche della commissione.</w:t>
      </w:r>
    </w:p>
    <w:p w14:paraId="3A39DAA0" w14:textId="77777777" w:rsidR="00E25506" w:rsidRPr="009E41E0" w:rsidRDefault="00E25506" w:rsidP="00E25506"/>
    <w:p w14:paraId="571AAFDA" w14:textId="38A9A5EC" w:rsidR="00E25506" w:rsidRPr="002D27A6" w:rsidRDefault="002D27A6" w:rsidP="00D1298E">
      <w:pPr>
        <w:rPr>
          <w:b/>
          <w:bCs/>
        </w:rPr>
      </w:pPr>
      <w:r w:rsidRPr="002D27A6">
        <w:rPr>
          <w:b/>
          <w:bCs/>
        </w:rPr>
        <w:t>Sistema Statistico Europeo:</w:t>
      </w:r>
    </w:p>
    <w:p w14:paraId="0E1DECA3" w14:textId="44EE2E5D" w:rsidR="006B4E01" w:rsidRDefault="00874912" w:rsidP="00E46ED1">
      <w:pPr>
        <w:jc w:val="both"/>
      </w:pPr>
      <w:r>
        <w:t>i</w:t>
      </w:r>
      <w:r w:rsidR="006B4E01">
        <w:t xml:space="preserve">l </w:t>
      </w:r>
      <w:r w:rsidR="00E46ED1">
        <w:t>S</w:t>
      </w:r>
      <w:r w:rsidR="006B4E01">
        <w:t xml:space="preserve">istema </w:t>
      </w:r>
      <w:r w:rsidR="00E46ED1">
        <w:t>S</w:t>
      </w:r>
      <w:r w:rsidR="006B4E01">
        <w:t xml:space="preserve">tatistico </w:t>
      </w:r>
      <w:r w:rsidR="00E46ED1">
        <w:t>E</w:t>
      </w:r>
      <w:r w:rsidR="006B4E01">
        <w:t>uropeo (European Statistical System</w:t>
      </w:r>
      <w:r w:rsidR="00B22F4C">
        <w:t>, ESS</w:t>
      </w:r>
      <w:r w:rsidR="006B4E01">
        <w:t xml:space="preserve">) è il partenariato tra </w:t>
      </w:r>
      <w:r>
        <w:t>Eurostat,</w:t>
      </w:r>
      <w:r w:rsidR="006B4E01">
        <w:t xml:space="preserve"> gli Istituti nazionali di statistica (Ins) e le Altre autorità nazionali (Ona)</w:t>
      </w:r>
      <w:r>
        <w:t xml:space="preserve"> (e.g., alcuni ministeri)</w:t>
      </w:r>
      <w:r w:rsidR="006B4E01">
        <w:t xml:space="preserve"> preposte in ciascuno Stato membro allo sviluppo, alla produzione e alla diffusione di statistiche europee.</w:t>
      </w:r>
    </w:p>
    <w:p w14:paraId="3D7CC8AF" w14:textId="364C954D" w:rsidR="006B4E01" w:rsidRDefault="006B4E01" w:rsidP="00E46ED1">
      <w:pPr>
        <w:jc w:val="both"/>
      </w:pPr>
      <w:r>
        <w:t xml:space="preserve">Il sistema statistico europeo (Sse) è regolato </w:t>
      </w:r>
      <w:r w:rsidR="00874912">
        <w:t>dal regolamento comunitario 223/2009, comprende i paesi dell’Unione ma anche i paesi dell’EFTA (associazione europea di libero scambio</w:t>
      </w:r>
      <w:r w:rsidR="00587F0E">
        <w:t>: Islanda, Svizzera, Norvegia, Lichtenstein</w:t>
      </w:r>
      <w:r w:rsidR="00874912">
        <w:t>)</w:t>
      </w:r>
      <w:r w:rsidR="00587F0E">
        <w:t>.</w:t>
      </w:r>
    </w:p>
    <w:p w14:paraId="133CFECD" w14:textId="77777777" w:rsidR="002552DE" w:rsidRDefault="002552DE" w:rsidP="00E46ED1">
      <w:pPr>
        <w:jc w:val="both"/>
      </w:pPr>
    </w:p>
    <w:p w14:paraId="1F4540B3" w14:textId="55A41817" w:rsidR="00E46ED1" w:rsidRPr="002552DE" w:rsidRDefault="00E46ED1" w:rsidP="00E46ED1">
      <w:pPr>
        <w:jc w:val="both"/>
        <w:rPr>
          <w:b/>
          <w:bCs/>
        </w:rPr>
      </w:pPr>
      <w:r w:rsidRPr="002552DE">
        <w:rPr>
          <w:b/>
          <w:bCs/>
        </w:rPr>
        <w:t>Comitato del Sistema Statistico Europeo:</w:t>
      </w:r>
    </w:p>
    <w:p w14:paraId="4571E118" w14:textId="17D51C9A" w:rsidR="00E46ED1" w:rsidRDefault="00E46ED1" w:rsidP="00E46ED1">
      <w:pPr>
        <w:jc w:val="both"/>
      </w:pPr>
      <w:r>
        <w:t>Il comitato del sistema statistico europeo (</w:t>
      </w:r>
      <w:r w:rsidR="00A210FE">
        <w:t xml:space="preserve">Eurpean Statistical System Committee, </w:t>
      </w:r>
      <w:r>
        <w:t xml:space="preserve">ESSC) è </w:t>
      </w:r>
      <w:r w:rsidR="00B22F4C">
        <w:t xml:space="preserve">l’organo di governo tecnico del ESS, è presieduto da Eurostat e vi partecipano i presidenti degli istituti di statistica del ESS. </w:t>
      </w:r>
    </w:p>
    <w:p w14:paraId="659BEDD7" w14:textId="12987E9D" w:rsidR="006B4E01" w:rsidRDefault="006B4E01" w:rsidP="00E46ED1">
      <w:pPr>
        <w:jc w:val="both"/>
      </w:pPr>
      <w:r>
        <w:t>Il Comitato ha il compito di fornire la guida professionale per la pianificazione, la realizzazione e la diffusione di statistiche europee ed è coinvolto nel processo di compilazione e adozione delle norme statistiche europee e del programma statistico europeo.</w:t>
      </w:r>
    </w:p>
    <w:p w14:paraId="2A003523" w14:textId="77777777" w:rsidR="006B4E01" w:rsidRDefault="006B4E01" w:rsidP="00E46ED1">
      <w:pPr>
        <w:jc w:val="both"/>
      </w:pPr>
    </w:p>
    <w:p w14:paraId="08550603" w14:textId="513AB98A" w:rsidR="006453D7" w:rsidRPr="006453D7" w:rsidRDefault="006453D7" w:rsidP="00E46ED1">
      <w:pPr>
        <w:jc w:val="both"/>
        <w:rPr>
          <w:b/>
          <w:bCs/>
        </w:rPr>
      </w:pPr>
      <w:r w:rsidRPr="006453D7">
        <w:rPr>
          <w:b/>
          <w:bCs/>
        </w:rPr>
        <w:t>Comitato Consultivo Statistico Europeo:</w:t>
      </w:r>
    </w:p>
    <w:p w14:paraId="650345FF" w14:textId="7C2D2F9A" w:rsidR="006B4E01" w:rsidRDefault="006453D7" w:rsidP="00E46ED1">
      <w:pPr>
        <w:jc w:val="both"/>
      </w:pPr>
      <w:r>
        <w:t xml:space="preserve">Il comitato consultivo statistico europeo (European Statistical Advisory Committee, ESAC) rappresenta le esigenze degli utilizzatori dell’informazione statistica in seno al ESS. </w:t>
      </w:r>
    </w:p>
    <w:p w14:paraId="6C8816D0" w14:textId="3BE00ABF" w:rsidR="006453D7" w:rsidRDefault="006453D7" w:rsidP="00E46ED1">
      <w:pPr>
        <w:jc w:val="both"/>
      </w:pPr>
    </w:p>
    <w:p w14:paraId="1D090B7E" w14:textId="2CE31EE4" w:rsidR="006453D7" w:rsidRPr="006453D7" w:rsidRDefault="006453D7" w:rsidP="00E46ED1">
      <w:pPr>
        <w:jc w:val="both"/>
        <w:rPr>
          <w:b/>
          <w:bCs/>
        </w:rPr>
      </w:pPr>
      <w:r w:rsidRPr="006453D7">
        <w:rPr>
          <w:b/>
          <w:bCs/>
        </w:rPr>
        <w:t>Comitato consultivo europeo sulla governance statistica:</w:t>
      </w:r>
    </w:p>
    <w:p w14:paraId="49A13003" w14:textId="15747AB1" w:rsidR="006B4E01" w:rsidRDefault="006453D7" w:rsidP="00E46ED1">
      <w:pPr>
        <w:jc w:val="both"/>
      </w:pPr>
      <w:r>
        <w:t>Il comitato consultivo europeo sulla governance statistica (European Statistical Governance Advisory Board</w:t>
      </w:r>
      <w:r w:rsidR="00A1148B">
        <w:t>, ESGAB</w:t>
      </w:r>
      <w:r>
        <w:t>) è un comitato indipendente formato da sette persone che fornisce una supervisione del ESS relativamente all’attuazione del codice delle statistiche europee.</w:t>
      </w:r>
      <w:r w:rsidR="007F0E7B">
        <w:t xml:space="preserve"> Riferisce al parlamento.</w:t>
      </w:r>
    </w:p>
    <w:p w14:paraId="48FB36DB" w14:textId="77777777" w:rsidR="00874912" w:rsidRDefault="00874912" w:rsidP="00D1298E"/>
    <w:p w14:paraId="50309FBA" w14:textId="0220409D" w:rsidR="00874912" w:rsidRPr="00630E33" w:rsidRDefault="00630E33" w:rsidP="00D1298E">
      <w:pPr>
        <w:rPr>
          <w:b/>
          <w:bCs/>
        </w:rPr>
      </w:pPr>
      <w:r w:rsidRPr="00630E33">
        <w:rPr>
          <w:b/>
          <w:bCs/>
        </w:rPr>
        <w:t>Codice delle statistiche europee:</w:t>
      </w:r>
    </w:p>
    <w:p w14:paraId="60CE2325" w14:textId="2B008DDE" w:rsidR="004A749F" w:rsidRDefault="008460F2" w:rsidP="00566617">
      <w:pPr>
        <w:jc w:val="both"/>
      </w:pPr>
      <w:r>
        <w:t>i</w:t>
      </w:r>
      <w:r w:rsidR="00630E33">
        <w:t xml:space="preserve">l Codice delle statistiche europee è uno strumento di autoregolamentazione il cui scopo principale è di migliorare la fiducia nelle statistiche ufficiali prodotte e diffuse da Eurostat e altri membri dell’ESS, </w:t>
      </w:r>
      <w:r w:rsidR="000F2AA5">
        <w:t>migliorandone la qualità (e anche indipendenza e completezza)</w:t>
      </w:r>
      <w:r w:rsidR="00630E33">
        <w:t>.</w:t>
      </w:r>
      <w:r w:rsidR="000F2AA5">
        <w:t xml:space="preserve"> Comprende 16 principi e vari indicatori da monitorare (tra i principi: indipendenza, qualità, </w:t>
      </w:r>
      <w:r w:rsidR="004104ED">
        <w:t xml:space="preserve">coordinamento, </w:t>
      </w:r>
      <w:r w:rsidR="000F2AA5">
        <w:t xml:space="preserve">evitare oneri eccessivi sui rispondenti, rapporto costi/efficienza, </w:t>
      </w:r>
      <w:r w:rsidR="00FF2C5F">
        <w:t>pertinenza, accuratezza, tempestività, accessibilità e chiarezza)</w:t>
      </w:r>
      <w:r>
        <w:t xml:space="preserve">. Il codice italiano è la declinazione del codice europeo per l’Italia, deliberato dal Comstat. </w:t>
      </w:r>
    </w:p>
    <w:p w14:paraId="4F4F570A" w14:textId="31CAE8DC" w:rsidR="00734BAB" w:rsidRDefault="00734BAB" w:rsidP="00566617">
      <w:pPr>
        <w:jc w:val="both"/>
      </w:pPr>
    </w:p>
    <w:p w14:paraId="50540BAC" w14:textId="50EA705F" w:rsidR="00734BAB" w:rsidRPr="00734BAB" w:rsidRDefault="00734BAB" w:rsidP="00566617">
      <w:pPr>
        <w:jc w:val="both"/>
        <w:rPr>
          <w:b/>
          <w:bCs/>
        </w:rPr>
      </w:pPr>
      <w:r w:rsidRPr="00734BAB">
        <w:rPr>
          <w:b/>
          <w:bCs/>
        </w:rPr>
        <w:t>Programma statistico europeo:</w:t>
      </w:r>
    </w:p>
    <w:p w14:paraId="4CE5D436" w14:textId="64C0FBE4" w:rsidR="00734BAB" w:rsidRDefault="00734BAB" w:rsidP="00566617">
      <w:pPr>
        <w:jc w:val="both"/>
      </w:pPr>
      <w:r>
        <w:t>Il programma statistico europe (European Statistical Programme, ESP) definisce i</w:t>
      </w:r>
      <w:r w:rsidRPr="00734BAB">
        <w:t>l quadro per lo sviluppo, la produzione e la diffusione delle statistiche europee.</w:t>
      </w:r>
      <w:r>
        <w:t xml:space="preserve"> Ha durata di 6 anni, </w:t>
      </w:r>
      <w:r w:rsidR="00236A49">
        <w:t>ma il</w:t>
      </w:r>
      <w:r w:rsidR="00236A49" w:rsidRPr="00236A49">
        <w:t xml:space="preserve"> programma pluriennale è attuato mediante programmi annuali che stabiliscono azioni e risultati dettagliati per ogni anno.</w:t>
      </w:r>
    </w:p>
    <w:p w14:paraId="5A8C5469" w14:textId="548F2047" w:rsidR="00B62EAA" w:rsidRDefault="00B62EAA" w:rsidP="00566617">
      <w:pPr>
        <w:jc w:val="both"/>
      </w:pPr>
    </w:p>
    <w:sectPr w:rsidR="00B62E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45AE4"/>
    <w:multiLevelType w:val="hybridMultilevel"/>
    <w:tmpl w:val="296C79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599"/>
    <w:multiLevelType w:val="hybridMultilevel"/>
    <w:tmpl w:val="C444EA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24"/>
    <w:rsid w:val="0001040F"/>
    <w:rsid w:val="00010CF3"/>
    <w:rsid w:val="00044DF1"/>
    <w:rsid w:val="00057A60"/>
    <w:rsid w:val="00080286"/>
    <w:rsid w:val="00083A31"/>
    <w:rsid w:val="000E452A"/>
    <w:rsid w:val="000F2AA5"/>
    <w:rsid w:val="000F7F70"/>
    <w:rsid w:val="001141B1"/>
    <w:rsid w:val="00125984"/>
    <w:rsid w:val="00134AED"/>
    <w:rsid w:val="001353EB"/>
    <w:rsid w:val="00137C24"/>
    <w:rsid w:val="001671D1"/>
    <w:rsid w:val="001737AD"/>
    <w:rsid w:val="001941C9"/>
    <w:rsid w:val="001964A0"/>
    <w:rsid w:val="001B1B87"/>
    <w:rsid w:val="001C7CB8"/>
    <w:rsid w:val="001E1083"/>
    <w:rsid w:val="001E39B8"/>
    <w:rsid w:val="001E54D9"/>
    <w:rsid w:val="001F1E2A"/>
    <w:rsid w:val="001F35AD"/>
    <w:rsid w:val="001F3860"/>
    <w:rsid w:val="00201EC9"/>
    <w:rsid w:val="00202193"/>
    <w:rsid w:val="00202F97"/>
    <w:rsid w:val="00210B95"/>
    <w:rsid w:val="00223890"/>
    <w:rsid w:val="00226756"/>
    <w:rsid w:val="00236A49"/>
    <w:rsid w:val="002513D0"/>
    <w:rsid w:val="002547A2"/>
    <w:rsid w:val="002552DE"/>
    <w:rsid w:val="002574FB"/>
    <w:rsid w:val="002713AF"/>
    <w:rsid w:val="00280364"/>
    <w:rsid w:val="002823DF"/>
    <w:rsid w:val="002A23AA"/>
    <w:rsid w:val="002A53D5"/>
    <w:rsid w:val="002B612F"/>
    <w:rsid w:val="002D27A6"/>
    <w:rsid w:val="002D691A"/>
    <w:rsid w:val="002E6D22"/>
    <w:rsid w:val="003228FB"/>
    <w:rsid w:val="003364AC"/>
    <w:rsid w:val="00344794"/>
    <w:rsid w:val="00363201"/>
    <w:rsid w:val="00395AD6"/>
    <w:rsid w:val="003A1DDD"/>
    <w:rsid w:val="003A25F7"/>
    <w:rsid w:val="003B1562"/>
    <w:rsid w:val="003D3368"/>
    <w:rsid w:val="003E5438"/>
    <w:rsid w:val="004104ED"/>
    <w:rsid w:val="00422F70"/>
    <w:rsid w:val="004237DD"/>
    <w:rsid w:val="00452577"/>
    <w:rsid w:val="00492228"/>
    <w:rsid w:val="004A1884"/>
    <w:rsid w:val="004A749F"/>
    <w:rsid w:val="004B7E1F"/>
    <w:rsid w:val="004D05FA"/>
    <w:rsid w:val="004E1E21"/>
    <w:rsid w:val="004F308A"/>
    <w:rsid w:val="004F3F48"/>
    <w:rsid w:val="00503485"/>
    <w:rsid w:val="005347FF"/>
    <w:rsid w:val="00540787"/>
    <w:rsid w:val="0055424B"/>
    <w:rsid w:val="00566617"/>
    <w:rsid w:val="00587F0E"/>
    <w:rsid w:val="00592F75"/>
    <w:rsid w:val="005A26F9"/>
    <w:rsid w:val="005B7660"/>
    <w:rsid w:val="005D68EC"/>
    <w:rsid w:val="005E5E65"/>
    <w:rsid w:val="005F328B"/>
    <w:rsid w:val="005F3CAC"/>
    <w:rsid w:val="006032E7"/>
    <w:rsid w:val="00614E68"/>
    <w:rsid w:val="0061540B"/>
    <w:rsid w:val="00630E33"/>
    <w:rsid w:val="00631400"/>
    <w:rsid w:val="006453D7"/>
    <w:rsid w:val="006543C5"/>
    <w:rsid w:val="00667649"/>
    <w:rsid w:val="006B4E01"/>
    <w:rsid w:val="006F61CB"/>
    <w:rsid w:val="0071558C"/>
    <w:rsid w:val="00725D38"/>
    <w:rsid w:val="00734BAB"/>
    <w:rsid w:val="00742A80"/>
    <w:rsid w:val="00762C18"/>
    <w:rsid w:val="00774025"/>
    <w:rsid w:val="00774FDB"/>
    <w:rsid w:val="0078603E"/>
    <w:rsid w:val="007A1B2C"/>
    <w:rsid w:val="007C492C"/>
    <w:rsid w:val="007D6D01"/>
    <w:rsid w:val="007F0E7B"/>
    <w:rsid w:val="007F2A3C"/>
    <w:rsid w:val="008028A0"/>
    <w:rsid w:val="00815E08"/>
    <w:rsid w:val="00823E06"/>
    <w:rsid w:val="008460F2"/>
    <w:rsid w:val="008664C7"/>
    <w:rsid w:val="00874912"/>
    <w:rsid w:val="008A36B9"/>
    <w:rsid w:val="008A5044"/>
    <w:rsid w:val="008C3680"/>
    <w:rsid w:val="008D601F"/>
    <w:rsid w:val="00917EA5"/>
    <w:rsid w:val="00976484"/>
    <w:rsid w:val="0099120C"/>
    <w:rsid w:val="00994065"/>
    <w:rsid w:val="009B5F64"/>
    <w:rsid w:val="009E1B47"/>
    <w:rsid w:val="009E41E0"/>
    <w:rsid w:val="009F3F16"/>
    <w:rsid w:val="00A1148B"/>
    <w:rsid w:val="00A210FE"/>
    <w:rsid w:val="00A30047"/>
    <w:rsid w:val="00A449F6"/>
    <w:rsid w:val="00A4757F"/>
    <w:rsid w:val="00A51E13"/>
    <w:rsid w:val="00A55A44"/>
    <w:rsid w:val="00A67D39"/>
    <w:rsid w:val="00AA2D57"/>
    <w:rsid w:val="00AA54D4"/>
    <w:rsid w:val="00AD5F07"/>
    <w:rsid w:val="00AE3567"/>
    <w:rsid w:val="00AF7B9B"/>
    <w:rsid w:val="00B07D4D"/>
    <w:rsid w:val="00B116C0"/>
    <w:rsid w:val="00B12E21"/>
    <w:rsid w:val="00B22F4C"/>
    <w:rsid w:val="00B50B2B"/>
    <w:rsid w:val="00B51784"/>
    <w:rsid w:val="00B62EAA"/>
    <w:rsid w:val="00B8277C"/>
    <w:rsid w:val="00B87CA0"/>
    <w:rsid w:val="00B959C6"/>
    <w:rsid w:val="00BB0115"/>
    <w:rsid w:val="00BB12D7"/>
    <w:rsid w:val="00C3234A"/>
    <w:rsid w:val="00C4348D"/>
    <w:rsid w:val="00C52663"/>
    <w:rsid w:val="00C628FE"/>
    <w:rsid w:val="00C6691D"/>
    <w:rsid w:val="00C9158B"/>
    <w:rsid w:val="00C9333A"/>
    <w:rsid w:val="00CB245B"/>
    <w:rsid w:val="00CD26E9"/>
    <w:rsid w:val="00CE7379"/>
    <w:rsid w:val="00D024B9"/>
    <w:rsid w:val="00D1103A"/>
    <w:rsid w:val="00D1298E"/>
    <w:rsid w:val="00D15CEC"/>
    <w:rsid w:val="00D30803"/>
    <w:rsid w:val="00D35521"/>
    <w:rsid w:val="00D40387"/>
    <w:rsid w:val="00D766FC"/>
    <w:rsid w:val="00D915F6"/>
    <w:rsid w:val="00DB0868"/>
    <w:rsid w:val="00DD3BDC"/>
    <w:rsid w:val="00DD6D42"/>
    <w:rsid w:val="00DE18B9"/>
    <w:rsid w:val="00E032D1"/>
    <w:rsid w:val="00E04A11"/>
    <w:rsid w:val="00E0603C"/>
    <w:rsid w:val="00E12402"/>
    <w:rsid w:val="00E21646"/>
    <w:rsid w:val="00E25506"/>
    <w:rsid w:val="00E41ABC"/>
    <w:rsid w:val="00E468F2"/>
    <w:rsid w:val="00E46ED1"/>
    <w:rsid w:val="00E51C24"/>
    <w:rsid w:val="00E56AAA"/>
    <w:rsid w:val="00E57D53"/>
    <w:rsid w:val="00E86B66"/>
    <w:rsid w:val="00EB4DF9"/>
    <w:rsid w:val="00EE2847"/>
    <w:rsid w:val="00EE65DC"/>
    <w:rsid w:val="00EE78EA"/>
    <w:rsid w:val="00F004CE"/>
    <w:rsid w:val="00F02A4D"/>
    <w:rsid w:val="00F41305"/>
    <w:rsid w:val="00F53494"/>
    <w:rsid w:val="00F73EF3"/>
    <w:rsid w:val="00F76B46"/>
    <w:rsid w:val="00F935B4"/>
    <w:rsid w:val="00F97E6A"/>
    <w:rsid w:val="00FB49B0"/>
    <w:rsid w:val="00FB7D9E"/>
    <w:rsid w:val="00FE6E0C"/>
    <w:rsid w:val="00FF042E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D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4FB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308A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5F3C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10CF3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10CF3"/>
    <w:rPr>
      <w:rFonts w:ascii="Consolas" w:eastAsia="Times New Roman" w:hAnsi="Consolas" w:cs="Consolas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3080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3080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4FB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308A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5F3C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10CF3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10CF3"/>
    <w:rPr>
      <w:rFonts w:ascii="Consolas" w:eastAsia="Times New Roman" w:hAnsi="Consolas" w:cs="Consolas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3080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30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8D950-CA3B-4364-82B8-A62CF403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Di Biagio</dc:creator>
  <cp:lastModifiedBy>utente</cp:lastModifiedBy>
  <cp:revision>2</cp:revision>
  <dcterms:created xsi:type="dcterms:W3CDTF">2022-06-28T07:26:00Z</dcterms:created>
  <dcterms:modified xsi:type="dcterms:W3CDTF">2022-06-28T07:26:00Z</dcterms:modified>
</cp:coreProperties>
</file>