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AC2C" w14:textId="76F400A0" w:rsidR="004640C0" w:rsidRDefault="00627BDA">
      <w:r w:rsidRPr="071B28E8">
        <w:rPr>
          <w:b/>
          <w:bCs/>
          <w:sz w:val="26"/>
          <w:szCs w:val="26"/>
        </w:rPr>
        <w:t>A Resident-Level, ACGME-Validated Analysis of U.S.</w:t>
      </w:r>
      <w:r w:rsidR="5738D0F6" w:rsidRPr="071B28E8">
        <w:rPr>
          <w:b/>
          <w:bCs/>
          <w:sz w:val="26"/>
          <w:szCs w:val="26"/>
        </w:rPr>
        <w:t xml:space="preserve"> Neurosurgery</w:t>
      </w:r>
      <w:r w:rsidRPr="071B28E8">
        <w:rPr>
          <w:b/>
          <w:bCs/>
          <w:sz w:val="26"/>
          <w:szCs w:val="26"/>
        </w:rPr>
        <w:t xml:space="preserve"> </w:t>
      </w:r>
      <w:r w:rsidR="1889127D" w:rsidRPr="071B28E8">
        <w:rPr>
          <w:b/>
          <w:bCs/>
          <w:sz w:val="26"/>
          <w:szCs w:val="26"/>
        </w:rPr>
        <w:t>Attrition from</w:t>
      </w:r>
      <w:r w:rsidRPr="071B28E8">
        <w:rPr>
          <w:b/>
          <w:bCs/>
          <w:sz w:val="26"/>
          <w:szCs w:val="26"/>
        </w:rPr>
        <w:t xml:space="preserve"> 2014–2024</w:t>
      </w:r>
    </w:p>
    <w:p w14:paraId="1F46604E" w14:textId="7A09CD5A" w:rsidR="004640C0" w:rsidRDefault="00627BDA">
      <w:r w:rsidRPr="071B28E8">
        <w:rPr>
          <w:b/>
          <w:bCs/>
        </w:rPr>
        <w:t>Introduction:</w:t>
      </w:r>
      <w:r>
        <w:t xml:space="preserve"> Neurosurgery attrition is a significant </w:t>
      </w:r>
      <w:proofErr w:type="gramStart"/>
      <w:r>
        <w:t>concern</w:t>
      </w:r>
      <w:proofErr w:type="gramEnd"/>
      <w:r>
        <w:t xml:space="preserve"> but prior studies have not reported program-level rates or exiting resident destinations. </w:t>
      </w:r>
    </w:p>
    <w:p w14:paraId="6F2E57C1" w14:textId="45CB7AE8" w:rsidR="004640C0" w:rsidRDefault="00627BDA">
      <w:r w:rsidRPr="071B28E8">
        <w:rPr>
          <w:b/>
          <w:bCs/>
        </w:rPr>
        <w:t>Methods:</w:t>
      </w:r>
      <w:r>
        <w:t xml:space="preserve"> We reconstructed annual rosters for all ACGME neurosurgery programs from program websites for academic years 2014–15 to 2023–24. We traced each resident's outcome through public faculty biographies, match lists, and program announcements. Attrition was defined as leaving neurosurgery without graduating. Counts were validated against ACGME Data Resource Books.</w:t>
      </w:r>
    </w:p>
    <w:p w14:paraId="0CC0CFB8" w14:textId="38D2AC92" w:rsidR="004640C0" w:rsidRDefault="00627BDA" w:rsidP="00574A47">
      <w:r w:rsidRPr="071B28E8">
        <w:rPr>
          <w:b/>
          <w:bCs/>
        </w:rPr>
        <w:t>Results:</w:t>
      </w:r>
      <w:r>
        <w:t xml:space="preserve"> Our annual resident counts differed from ACGME totals by ≤5.4%, and we captured an estimated 87% of ACGME-reported attrition (140/161). The attrition rate was 6.6%. Attrition occurred in PGY-1–2 for 64%, PGY-3–4 for 27%, and PGY-5–7 for 9%. Of the 160 residents who departed, 69% changed specialties, 9% left medicine, and 21% had an unknown destination. The most common new specialties were radiology (20%), anesthesiology (17%), neurology (13%), and radiation oncology (10%). An additional 56 residents (2.3%) transferred within neurosurgery (excluding closures), 48% in PGY-1–2, 36% in PGY-3–4, and 16% in PGY-5-7. Across 111 programs with at least seven entering classes, attrition ranged from 0% to 29% (mean 6.9% ± 6.0%, 23% of programs &gt;10%). Average attrition was 10.7% at programs matching one resident per year (15% of total attrition), 6.3% at those matching two (39% of total), and 6.0% at those matching three or more (46%, p = 0.03). </w:t>
      </w:r>
    </w:p>
    <w:p w14:paraId="7CF89FD8" w14:textId="636FBC1D" w:rsidR="004640C0" w:rsidRDefault="00627BDA">
      <w:pPr>
        <w:rPr>
          <w:b/>
          <w:bCs/>
        </w:rPr>
      </w:pPr>
      <w:r w:rsidRPr="071B28E8">
        <w:rPr>
          <w:b/>
          <w:bCs/>
        </w:rPr>
        <w:t>Conclusions:</w:t>
      </w:r>
      <w:r>
        <w:t xml:space="preserve"> Approximately 7% of U.S. neurosurgery residents leave the specialty without graduating. Programs matching one resident per year had the highest attrition rate yet accounted for </w:t>
      </w:r>
      <w:r w:rsidR="00E032BB">
        <w:t>only a small percentage of overall attrition</w:t>
      </w:r>
      <w:r>
        <w:t xml:space="preserve"> because most residents train at larger programs. </w:t>
      </w:r>
      <w:r w:rsidR="00E032BB">
        <w:t>M</w:t>
      </w:r>
      <w:r>
        <w:t>ost attrition occurs in the first two years and leads to another specialty, while later attrition more often leads out of clinical medicine or to an unknown destination. Understanding these patterns can help us better guide potential and current neurosurgery residents along their training pathways.</w:t>
      </w:r>
    </w:p>
    <w:sectPr w:rsidR="00464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8207081">
    <w:abstractNumId w:val="8"/>
  </w:num>
  <w:num w:numId="2" w16cid:durableId="1461611751">
    <w:abstractNumId w:val="6"/>
  </w:num>
  <w:num w:numId="3" w16cid:durableId="616987169">
    <w:abstractNumId w:val="5"/>
  </w:num>
  <w:num w:numId="4" w16cid:durableId="727415313">
    <w:abstractNumId w:val="4"/>
  </w:num>
  <w:num w:numId="5" w16cid:durableId="119998309">
    <w:abstractNumId w:val="7"/>
  </w:num>
  <w:num w:numId="6" w16cid:durableId="1688214111">
    <w:abstractNumId w:val="3"/>
  </w:num>
  <w:num w:numId="7" w16cid:durableId="1332291148">
    <w:abstractNumId w:val="2"/>
  </w:num>
  <w:num w:numId="8" w16cid:durableId="1798912713">
    <w:abstractNumId w:val="1"/>
  </w:num>
  <w:num w:numId="9" w16cid:durableId="1044328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8C"/>
    <w:rsid w:val="00034616"/>
    <w:rsid w:val="0006063C"/>
    <w:rsid w:val="0015074B"/>
    <w:rsid w:val="001B6C08"/>
    <w:rsid w:val="0029639D"/>
    <w:rsid w:val="00326F90"/>
    <w:rsid w:val="00342587"/>
    <w:rsid w:val="004056CC"/>
    <w:rsid w:val="004640C0"/>
    <w:rsid w:val="004913F6"/>
    <w:rsid w:val="00574A47"/>
    <w:rsid w:val="00583592"/>
    <w:rsid w:val="00591532"/>
    <w:rsid w:val="005B3F3D"/>
    <w:rsid w:val="00606363"/>
    <w:rsid w:val="00627BDA"/>
    <w:rsid w:val="00647538"/>
    <w:rsid w:val="007A5437"/>
    <w:rsid w:val="00994B89"/>
    <w:rsid w:val="00AA1D8D"/>
    <w:rsid w:val="00B47730"/>
    <w:rsid w:val="00CB0664"/>
    <w:rsid w:val="00CB63D4"/>
    <w:rsid w:val="00DA4F8B"/>
    <w:rsid w:val="00DE334C"/>
    <w:rsid w:val="00E032BB"/>
    <w:rsid w:val="00F71650"/>
    <w:rsid w:val="00F8213F"/>
    <w:rsid w:val="00FC693F"/>
    <w:rsid w:val="03AF10F7"/>
    <w:rsid w:val="071B28E8"/>
    <w:rsid w:val="0757D3F0"/>
    <w:rsid w:val="0C9D390C"/>
    <w:rsid w:val="0E440D07"/>
    <w:rsid w:val="12C6E2FB"/>
    <w:rsid w:val="14C7F1BA"/>
    <w:rsid w:val="1889127D"/>
    <w:rsid w:val="23B1CA95"/>
    <w:rsid w:val="34C6B5E2"/>
    <w:rsid w:val="3701E1ED"/>
    <w:rsid w:val="3724456C"/>
    <w:rsid w:val="3754B131"/>
    <w:rsid w:val="441CD228"/>
    <w:rsid w:val="44D8D06E"/>
    <w:rsid w:val="47D07DF2"/>
    <w:rsid w:val="48AA64C9"/>
    <w:rsid w:val="4BCC9A99"/>
    <w:rsid w:val="4E6C3A60"/>
    <w:rsid w:val="55A665F2"/>
    <w:rsid w:val="56E72F4D"/>
    <w:rsid w:val="56F6C7D8"/>
    <w:rsid w:val="5738D0F6"/>
    <w:rsid w:val="5A27D4CB"/>
    <w:rsid w:val="5D9193C7"/>
    <w:rsid w:val="5DF209AA"/>
    <w:rsid w:val="5E79E670"/>
    <w:rsid w:val="622AB573"/>
    <w:rsid w:val="6321C8BD"/>
    <w:rsid w:val="65528906"/>
    <w:rsid w:val="6703BFA5"/>
    <w:rsid w:val="67441195"/>
    <w:rsid w:val="6978D72D"/>
    <w:rsid w:val="6B19614A"/>
    <w:rsid w:val="6B4BD8A2"/>
    <w:rsid w:val="6D0DE0DB"/>
    <w:rsid w:val="6D2A43F5"/>
    <w:rsid w:val="6F3D0DFA"/>
    <w:rsid w:val="6F5AFA0E"/>
    <w:rsid w:val="6FBCEE25"/>
    <w:rsid w:val="6FDBD118"/>
    <w:rsid w:val="76400003"/>
    <w:rsid w:val="77B10135"/>
    <w:rsid w:val="78113C05"/>
    <w:rsid w:val="78C567BC"/>
    <w:rsid w:val="78CCA18C"/>
    <w:rsid w:val="7ABC7AA1"/>
    <w:rsid w:val="7DBA8F81"/>
    <w:rsid w:val="7E55647C"/>
    <w:rsid w:val="7EBA6103"/>
    <w:rsid w:val="7FB960DB"/>
    <w:rsid w:val="7FCC323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92A6AC0-ABBE-48D5-9476-2389EB3C6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91532"/>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321</Words>
  <Characters>1835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Jake Hockman</cp:lastModifiedBy>
  <cp:revision>19</cp:revision>
  <dcterms:created xsi:type="dcterms:W3CDTF">2026-10-02T01:21:00Z</dcterms:created>
  <dcterms:modified xsi:type="dcterms:W3CDTF">2026-10-02T03:44:00Z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a179e3-2f7d-4243-8902-8d00ac6e263d_Enabled">
    <vt:lpwstr>true</vt:lpwstr>
  </property>
  <property fmtid="{D5CDD505-2E9C-101B-9397-08002B2CF9AE}" pid="3" name="MSIP_Label_16a179e3-2f7d-4243-8902-8d00ac6e263d_SetDate">
    <vt:lpwstr>2026-10-02T01:21:40Z</vt:lpwstr>
  </property>
  <property fmtid="{D5CDD505-2E9C-101B-9397-08002B2CF9AE}" pid="4" name="MSIP_Label_16a179e3-2f7d-4243-8902-8d00ac6e263d_Method">
    <vt:lpwstr>Standard</vt:lpwstr>
  </property>
  <property fmtid="{D5CDD505-2E9C-101B-9397-08002B2CF9AE}" pid="5" name="MSIP_Label_16a179e3-2f7d-4243-8902-8d00ac6e263d_Name">
    <vt:lpwstr>General</vt:lpwstr>
  </property>
  <property fmtid="{D5CDD505-2E9C-101B-9397-08002B2CF9AE}" pid="6" name="MSIP_Label_16a179e3-2f7d-4243-8902-8d00ac6e263d_SiteId">
    <vt:lpwstr>fbb1df86-6d49-4545-bde7-9583d50eee17</vt:lpwstr>
  </property>
  <property fmtid="{D5CDD505-2E9C-101B-9397-08002B2CF9AE}" pid="7" name="MSIP_Label_16a179e3-2f7d-4243-8902-8d00ac6e263d_ActionId">
    <vt:lpwstr>c6009ae3-1461-445b-b779-0be71fff29b4</vt:lpwstr>
  </property>
  <property fmtid="{D5CDD505-2E9C-101B-9397-08002B2CF9AE}" pid="8" name="MSIP_Label_16a179e3-2f7d-4243-8902-8d00ac6e263d_ContentBits">
    <vt:lpwstr>0</vt:lpwstr>
  </property>
  <property fmtid="{D5CDD505-2E9C-101B-9397-08002B2CF9AE}" pid="9" name="MSIP_Label_16a179e3-2f7d-4243-8902-8d00ac6e263d_Tag">
    <vt:lpwstr>10, 3, 0, 2</vt:lpwstr>
  </property>
</Properties>
</file>