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4CB48045" w:rsidR="004640C0" w:rsidRDefault="00627BDA" w:rsidP="00574A47">
      <w:r w:rsidRPr="071B28E8">
        <w:rPr>
          <w:b/>
          <w:bCs/>
        </w:rPr>
        <w:t>Results:</w:t>
      </w:r>
      <w:r>
        <w:t xml:space="preserve"> Our annual resident counts differed from ACGME totals by ≤5.4%. We identified records for an estimated 87% of ACGME-reported departures (140/160). The attrition rate was 6.6%. Attrition occurred in PGY-1–2 for 64%, PGY-3–4 for 27%, and PGY-5–7 for 9%. Of the 160 residents who departed, 69% changed specialties, 9% left medicine, 1% took a non-physician role within healthcare, and 21% had an unknown destination. Of the 110 residents who changed specialties, radiology was the most common destination (20%) followed by anesthesiology (17%), neurology (13%), and radiation oncology (10%). Leaving medicine or an unknown destination rose with stage (25% PGY-1–2, 40% PGY-3–4, 50% PGY-5–7). An additional 56 residents (2.3%) transferred to another neurosurgery program excluding program closures; 48% in PGY-1–2, 36% in PGY-3–4, and 16% in PGY-5-7. Across 111 programs with at least seven entering classes, attrition ranged from 0% to 29% (mean 6.9% ± 6.0%, 23% of programs &gt;10%) and transfer rate ranged from 0% to 38% (mean 2.5% ± 5.4%). </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17</cp:revision>
  <dcterms:created xsi:type="dcterms:W3CDTF">2026-10-02T01:21:00Z</dcterms:created>
  <dcterms:modified xsi:type="dcterms:W3CDTF">2026-10-02T03:05:00Z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