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1AC2C" w14:textId="76F400A0" w:rsidR="004640C0" w:rsidRDefault="00627BDA">
      <w:r w:rsidRPr="071B28E8">
        <w:rPr>
          <w:b/>
          <w:bCs/>
          <w:sz w:val="26"/>
          <w:szCs w:val="26"/>
        </w:rPr>
        <w:t>A Resident-Level, ACGME-Validated Analysis of U.S.</w:t>
      </w:r>
      <w:r w:rsidR="5738D0F6" w:rsidRPr="071B28E8">
        <w:rPr>
          <w:b/>
          <w:bCs/>
          <w:sz w:val="26"/>
          <w:szCs w:val="26"/>
        </w:rPr>
        <w:t xml:space="preserve"> Neurosurgery</w:t>
      </w:r>
      <w:r w:rsidRPr="071B28E8">
        <w:rPr>
          <w:b/>
          <w:bCs/>
          <w:sz w:val="26"/>
          <w:szCs w:val="26"/>
        </w:rPr>
        <w:t xml:space="preserve"> </w:t>
      </w:r>
      <w:r w:rsidR="1889127D" w:rsidRPr="071B28E8">
        <w:rPr>
          <w:b/>
          <w:bCs/>
          <w:sz w:val="26"/>
          <w:szCs w:val="26"/>
        </w:rPr>
        <w:t>Attrition from</w:t>
      </w:r>
      <w:r w:rsidRPr="071B28E8">
        <w:rPr>
          <w:b/>
          <w:bCs/>
          <w:sz w:val="26"/>
          <w:szCs w:val="26"/>
        </w:rPr>
        <w:t xml:space="preserve"> 2014–2024</w:t>
      </w:r>
    </w:p>
    <w:p w14:paraId="1F46604E" w14:textId="051485FD" w:rsidR="004640C0" w:rsidRDefault="00627BDA">
      <w:r w:rsidRPr="071B28E8">
        <w:rPr>
          <w:b/>
          <w:bCs/>
        </w:rPr>
        <w:t>Introduction:</w:t>
      </w:r>
      <w:r>
        <w:t xml:space="preserve"> Neurosurgery attrition </w:t>
      </w:r>
      <w:r w:rsidR="65528906">
        <w:t>is a significant concern</w:t>
      </w:r>
      <w:r>
        <w:t>,</w:t>
      </w:r>
      <w:r w:rsidR="4E6C3A60">
        <w:t xml:space="preserve"> yet recent attrition rates have not been calculated</w:t>
      </w:r>
      <w:r w:rsidR="6D0DE0DB">
        <w:t xml:space="preserve">, </w:t>
      </w:r>
      <w:proofErr w:type="gramStart"/>
      <w:r w:rsidR="6D0DE0DB">
        <w:t xml:space="preserve">and </w:t>
      </w:r>
      <w:r>
        <w:t xml:space="preserve"> prior</w:t>
      </w:r>
      <w:proofErr w:type="gramEnd"/>
      <w:r>
        <w:t xml:space="preserve"> cohort studies have not reported program-level rates. We built an ACGME-validated resident-level census</w:t>
      </w:r>
      <w:r w:rsidR="0C9D390C">
        <w:t xml:space="preserve"> to evaluate recent trends in neurosurgery residency training attrition</w:t>
      </w:r>
      <w:r>
        <w:t>.</w:t>
      </w:r>
    </w:p>
    <w:p w14:paraId="6F2E57C1" w14:textId="4FD38C7E" w:rsidR="004640C0" w:rsidRDefault="00627BDA">
      <w:r w:rsidRPr="071B28E8">
        <w:rPr>
          <w:b/>
          <w:bCs/>
        </w:rPr>
        <w:t>Methods:</w:t>
      </w:r>
      <w:r>
        <w:t xml:space="preserve"> We reconstructed annual rosters for all ACGME neurosurgery programs from program websites and web archives, then traced each resident's outcome through </w:t>
      </w:r>
      <w:r w:rsidR="67441195">
        <w:t xml:space="preserve">publicly available data including </w:t>
      </w:r>
      <w:r>
        <w:t xml:space="preserve">faculty or practice biographies, match lists, and program announcements. Departures were classified </w:t>
      </w:r>
      <w:r w:rsidR="5DF209AA">
        <w:t>according to</w:t>
      </w:r>
      <w:r>
        <w:t xml:space="preserve"> ACGME schema (transfer, withdrawal or dismissal, death). Attrition was defined as leaving neurosurgery </w:t>
      </w:r>
      <w:r w:rsidR="5E79E670">
        <w:t xml:space="preserve">residency </w:t>
      </w:r>
      <w:r>
        <w:t xml:space="preserve">without graduating; transfer to another neurosurgery program was analyzed separately. The study window (academic years 2014–15 to 2023–24) </w:t>
      </w:r>
      <w:r w:rsidR="6D2A43F5">
        <w:t xml:space="preserve">was designed to be </w:t>
      </w:r>
      <w:r>
        <w:t>the longest</w:t>
      </w:r>
      <w:r w:rsidR="6B4BD8A2">
        <w:t xml:space="preserve"> possible</w:t>
      </w:r>
      <w:r>
        <w:t xml:space="preserve"> period in which our departure counts </w:t>
      </w:r>
      <w:r w:rsidR="78C567BC">
        <w:t xml:space="preserve">could </w:t>
      </w:r>
      <w:r>
        <w:t xml:space="preserve">agree with </w:t>
      </w:r>
      <w:r w:rsidR="00591532">
        <w:t xml:space="preserve">totals reported in the </w:t>
      </w:r>
      <w:r w:rsidR="00591532" w:rsidRPr="00591532">
        <w:t>ACGME's Graduate Medical Education Data Resource Book</w:t>
      </w:r>
      <w:r>
        <w:t>.</w:t>
      </w:r>
    </w:p>
    <w:p w14:paraId="0CC0CFB8" w14:textId="1C988ECB" w:rsidR="004640C0" w:rsidRDefault="00627BDA">
      <w:r w:rsidRPr="071B28E8">
        <w:rPr>
          <w:b/>
          <w:bCs/>
        </w:rPr>
        <w:t>Results:</w:t>
      </w:r>
      <w:r>
        <w:t xml:space="preserve"> Of 1,227 residents who entered </w:t>
      </w:r>
      <w:r w:rsidR="03AF10F7">
        <w:t>between</w:t>
      </w:r>
      <w:r w:rsidR="00591532">
        <w:t xml:space="preserve"> </w:t>
      </w:r>
      <w:r>
        <w:t xml:space="preserve">2014–2018 (classes that </w:t>
      </w:r>
      <w:r w:rsidR="6703BFA5">
        <w:t xml:space="preserve">should have </w:t>
      </w:r>
      <w:r>
        <w:t>finished training</w:t>
      </w:r>
      <w:r w:rsidR="76400003">
        <w:t xml:space="preserve"> by time of this study</w:t>
      </w:r>
      <w:r>
        <w:t xml:space="preserve">), 85 (6.9%; 95% CI 5.6–8.5%) </w:t>
      </w:r>
      <w:r w:rsidR="23B1CA95">
        <w:t xml:space="preserve">originally matched residents </w:t>
      </w:r>
      <w:r>
        <w:t xml:space="preserve">left neurosurgery without graduating. From 2014–15 to 2023–24, our annual resident counts differed from ACGME totals by ≤5.4%, and we captured 92% of ACGME-reported departures (240/262). Of 262 departures, 80 were transfers to another neurosurgery program, 2 </w:t>
      </w:r>
      <w:r w:rsidR="44D8D06E">
        <w:t xml:space="preserve">residents </w:t>
      </w:r>
      <w:r w:rsidR="6321C8BD">
        <w:t>died</w:t>
      </w:r>
      <w:r>
        <w:t xml:space="preserve">, and 180 </w:t>
      </w:r>
      <w:r w:rsidR="12C6E2FB">
        <w:t xml:space="preserve">exited </w:t>
      </w:r>
      <w:r>
        <w:t>from neurosurgery</w:t>
      </w:r>
      <w:r w:rsidR="78CCA18C">
        <w:t xml:space="preserve"> training</w:t>
      </w:r>
      <w:r>
        <w:t>; destinations were found for 85% of these exits. Of exits, 57% occurred in PGY-1–2, 31% in PGY-3–4, and 12% in PGY-5–7. Transfers made up 22% of</w:t>
      </w:r>
      <w:r w:rsidR="00591532">
        <w:t xml:space="preserve"> </w:t>
      </w:r>
      <w:r w:rsidR="00591532">
        <w:t>PGY-1–2</w:t>
      </w:r>
      <w:r>
        <w:t xml:space="preserve"> 38% of </w:t>
      </w:r>
      <w:r w:rsidR="00591532">
        <w:t>PGY-3–4</w:t>
      </w:r>
      <w:r>
        <w:t xml:space="preserve">, and 45% of </w:t>
      </w:r>
      <w:r w:rsidR="00591532">
        <w:t>PGY-5–7</w:t>
      </w:r>
      <w:r>
        <w:t xml:space="preserve"> departures. </w:t>
      </w:r>
      <w:r w:rsidR="00591532">
        <w:t>PGY-1–2</w:t>
      </w:r>
      <w:r>
        <w:t xml:space="preserve"> exits most often entered radiology (20%), anesthesiology (12%), or neurology (11%). Among exits, leaving clinical practice or an unknown destination rose with stage (21% </w:t>
      </w:r>
      <w:r w:rsidR="00591532">
        <w:t>PGY-1–2</w:t>
      </w:r>
      <w:r>
        <w:t xml:space="preserve">, 25% </w:t>
      </w:r>
      <w:r w:rsidR="00591532">
        <w:t>PGY-3–4</w:t>
      </w:r>
      <w:r>
        <w:t xml:space="preserve">, 45% </w:t>
      </w:r>
      <w:r w:rsidR="00591532">
        <w:t>PGY-5–7</w:t>
      </w:r>
      <w:r>
        <w:t>). Across 118 programs, 32 had no attrition, and no program differed significantly from the national rate after correction for multiple comparisons.</w:t>
      </w:r>
    </w:p>
    <w:p w14:paraId="7CF89FD8" w14:textId="17E9CA69" w:rsidR="004640C0" w:rsidRDefault="00627BDA">
      <w:pPr>
        <w:rPr>
          <w:b/>
          <w:bCs/>
        </w:rPr>
      </w:pPr>
      <w:r w:rsidRPr="071B28E8">
        <w:rPr>
          <w:b/>
          <w:bCs/>
        </w:rPr>
        <w:t>Conclusions:</w:t>
      </w:r>
      <w:r>
        <w:t xml:space="preserve"> 7% of U.S. neurosurgery residents leave the specialty without graduating, with </w:t>
      </w:r>
      <w:r w:rsidR="48AA64C9">
        <w:t>most programs achieving similar total graduation rates</w:t>
      </w:r>
      <w:r>
        <w:t xml:space="preserve">. A census built from public program websites reproduces ACGME totals and reveals stage-specific paths: </w:t>
      </w:r>
      <w:r w:rsidR="5D9193C7">
        <w:t xml:space="preserve">residents who </w:t>
      </w:r>
      <w:r w:rsidR="3754B131">
        <w:t>attrit within their first 4 years most commonly depart to a different specialty</w:t>
      </w:r>
      <w:r>
        <w:t>, while senior residents</w:t>
      </w:r>
      <w:r w:rsidR="622AB573">
        <w:t xml:space="preserve"> </w:t>
      </w:r>
      <w:r>
        <w:t>more often transfer within neurosurgery or leave medicine</w:t>
      </w:r>
      <w:r w:rsidR="0E440D07">
        <w:t xml:space="preserve"> altogether</w:t>
      </w:r>
      <w:r>
        <w:t>.</w:t>
      </w:r>
      <w:r w:rsidR="6FBCEE25">
        <w:t xml:space="preserve"> Understanding these patterns can help us better guide </w:t>
      </w:r>
      <w:r w:rsidR="6FBCEE25" w:rsidRPr="071B28E8">
        <w:rPr>
          <w:b/>
          <w:bCs/>
        </w:rPr>
        <w:t xml:space="preserve">potential and current neurosurgery residents along their training pathways. </w:t>
      </w:r>
    </w:p>
    <w:sectPr w:rsidR="004640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8207081">
    <w:abstractNumId w:val="8"/>
  </w:num>
  <w:num w:numId="2" w16cid:durableId="1461611751">
    <w:abstractNumId w:val="6"/>
  </w:num>
  <w:num w:numId="3" w16cid:durableId="616987169">
    <w:abstractNumId w:val="5"/>
  </w:num>
  <w:num w:numId="4" w16cid:durableId="727415313">
    <w:abstractNumId w:val="4"/>
  </w:num>
  <w:num w:numId="5" w16cid:durableId="119998309">
    <w:abstractNumId w:val="7"/>
  </w:num>
  <w:num w:numId="6" w16cid:durableId="1688214111">
    <w:abstractNumId w:val="3"/>
  </w:num>
  <w:num w:numId="7" w16cid:durableId="1332291148">
    <w:abstractNumId w:val="2"/>
  </w:num>
  <w:num w:numId="8" w16cid:durableId="1798912713">
    <w:abstractNumId w:val="1"/>
  </w:num>
  <w:num w:numId="9" w16cid:durableId="1044328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6C08"/>
    <w:rsid w:val="0029639D"/>
    <w:rsid w:val="00326F90"/>
    <w:rsid w:val="004056CC"/>
    <w:rsid w:val="004640C0"/>
    <w:rsid w:val="004913F6"/>
    <w:rsid w:val="00591532"/>
    <w:rsid w:val="00627BDA"/>
    <w:rsid w:val="00647538"/>
    <w:rsid w:val="00AA1D8D"/>
    <w:rsid w:val="00B47730"/>
    <w:rsid w:val="00CB0664"/>
    <w:rsid w:val="00DA4F8B"/>
    <w:rsid w:val="00FC693F"/>
    <w:rsid w:val="03AF10F7"/>
    <w:rsid w:val="071B28E8"/>
    <w:rsid w:val="0757D3F0"/>
    <w:rsid w:val="0C9D390C"/>
    <w:rsid w:val="0E440D07"/>
    <w:rsid w:val="12C6E2FB"/>
    <w:rsid w:val="14C7F1BA"/>
    <w:rsid w:val="1889127D"/>
    <w:rsid w:val="23B1CA95"/>
    <w:rsid w:val="34C6B5E2"/>
    <w:rsid w:val="3701E1ED"/>
    <w:rsid w:val="3724456C"/>
    <w:rsid w:val="3754B131"/>
    <w:rsid w:val="441CD228"/>
    <w:rsid w:val="44D8D06E"/>
    <w:rsid w:val="47D07DF2"/>
    <w:rsid w:val="48AA64C9"/>
    <w:rsid w:val="4BCC9A99"/>
    <w:rsid w:val="4E6C3A60"/>
    <w:rsid w:val="55A665F2"/>
    <w:rsid w:val="56E72F4D"/>
    <w:rsid w:val="56F6C7D8"/>
    <w:rsid w:val="5738D0F6"/>
    <w:rsid w:val="5A27D4CB"/>
    <w:rsid w:val="5D9193C7"/>
    <w:rsid w:val="5DF209AA"/>
    <w:rsid w:val="5E79E670"/>
    <w:rsid w:val="622AB573"/>
    <w:rsid w:val="6321C8BD"/>
    <w:rsid w:val="65528906"/>
    <w:rsid w:val="6703BFA5"/>
    <w:rsid w:val="67441195"/>
    <w:rsid w:val="6978D72D"/>
    <w:rsid w:val="6B19614A"/>
    <w:rsid w:val="6B4BD8A2"/>
    <w:rsid w:val="6D0DE0DB"/>
    <w:rsid w:val="6D2A43F5"/>
    <w:rsid w:val="6F3D0DFA"/>
    <w:rsid w:val="6F5AFA0E"/>
    <w:rsid w:val="6FBCEE25"/>
    <w:rsid w:val="6FDBD118"/>
    <w:rsid w:val="76400003"/>
    <w:rsid w:val="77B10135"/>
    <w:rsid w:val="78113C05"/>
    <w:rsid w:val="78C567BC"/>
    <w:rsid w:val="78CCA18C"/>
    <w:rsid w:val="7ABC7AA1"/>
    <w:rsid w:val="7DBA8F81"/>
    <w:rsid w:val="7E55647C"/>
    <w:rsid w:val="7EBA6103"/>
    <w:rsid w:val="7FB960DB"/>
    <w:rsid w:val="7FCC3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92A6AC0-ABBE-48D5-9476-2389EB3C6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Calibri" w:hAnsi="Calibri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591532"/>
    <w:pPr>
      <w:spacing w:after="0" w:line="240" w:lineRule="auto"/>
    </w:pPr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410</Words>
  <Characters>2342</Characters>
  <Application>Microsoft Office Word</Application>
  <DocSecurity>0</DocSecurity>
  <Lines>19</Lines>
  <Paragraphs>5</Paragraphs>
  <ScaleCrop>false</ScaleCrop>
  <Manager/>
  <Company/>
  <LinksUpToDate>false</LinksUpToDate>
  <CharactersWithSpaces>2747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Jake Hockman</cp:lastModifiedBy>
  <cp:revision>7</cp:revision>
  <dcterms:created xsi:type="dcterms:W3CDTF">2026-10-02T01:21:00Z</dcterms:created>
  <dcterms:modified xsi:type="dcterms:W3CDTF">2026-10-02T02:04:00Z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a179e3-2f7d-4243-8902-8d00ac6e263d_Enabled">
    <vt:lpwstr>true</vt:lpwstr>
  </property>
  <property fmtid="{D5CDD505-2E9C-101B-9397-08002B2CF9AE}" pid="3" name="MSIP_Label_16a179e3-2f7d-4243-8902-8d00ac6e263d_SetDate">
    <vt:lpwstr>2026-10-02T01:21:40Z</vt:lpwstr>
  </property>
  <property fmtid="{D5CDD505-2E9C-101B-9397-08002B2CF9AE}" pid="4" name="MSIP_Label_16a179e3-2f7d-4243-8902-8d00ac6e263d_Method">
    <vt:lpwstr>Standard</vt:lpwstr>
  </property>
  <property fmtid="{D5CDD505-2E9C-101B-9397-08002B2CF9AE}" pid="5" name="MSIP_Label_16a179e3-2f7d-4243-8902-8d00ac6e263d_Name">
    <vt:lpwstr>General</vt:lpwstr>
  </property>
  <property fmtid="{D5CDD505-2E9C-101B-9397-08002B2CF9AE}" pid="6" name="MSIP_Label_16a179e3-2f7d-4243-8902-8d00ac6e263d_SiteId">
    <vt:lpwstr>fbb1df86-6d49-4545-bde7-9583d50eee17</vt:lpwstr>
  </property>
  <property fmtid="{D5CDD505-2E9C-101B-9397-08002B2CF9AE}" pid="7" name="MSIP_Label_16a179e3-2f7d-4243-8902-8d00ac6e263d_ActionId">
    <vt:lpwstr>c6009ae3-1461-445b-b779-0be71fff29b4</vt:lpwstr>
  </property>
  <property fmtid="{D5CDD505-2E9C-101B-9397-08002B2CF9AE}" pid="8" name="MSIP_Label_16a179e3-2f7d-4243-8902-8d00ac6e263d_ContentBits">
    <vt:lpwstr>0</vt:lpwstr>
  </property>
  <property fmtid="{D5CDD505-2E9C-101B-9397-08002B2CF9AE}" pid="9" name="MSIP_Label_16a179e3-2f7d-4243-8902-8d00ac6e263d_Tag">
    <vt:lpwstr>10, 3, 0, 2</vt:lpwstr>
  </property>
</Properties>
</file>