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22D3" w14:textId="77777777" w:rsidR="00C9255A" w:rsidRDefault="00000000">
      <w:r>
        <w:rPr>
          <w:b/>
          <w:sz w:val="26"/>
        </w:rPr>
        <w:t>Where Neurosurgery Residents Go When They Leave: A Resident-Level, ACGME-Validated Analysis of U.S. Programs, 2014–2024</w:t>
      </w:r>
    </w:p>
    <w:p w14:paraId="5439CD65" w14:textId="77777777" w:rsidR="00C9255A" w:rsidRDefault="00000000">
      <w:r>
        <w:rPr>
          <w:b/>
        </w:rPr>
        <w:t>Introduction:</w:t>
      </w:r>
      <w:r>
        <w:t xml:space="preserve"> Neurosurgery attrition is high, but ACGME data are aggregate, and prior cohort studies have not reported program-level rates or how career destinations differ by training stage. We built an ACGME-validated resident-level census.</w:t>
      </w:r>
    </w:p>
    <w:p w14:paraId="4889863D" w14:textId="77777777" w:rsidR="00C9255A" w:rsidRDefault="00000000">
      <w:r>
        <w:rPr>
          <w:b/>
        </w:rPr>
        <w:t>Methods:</w:t>
      </w:r>
      <w:r>
        <w:t xml:space="preserve"> We reconstructed annual rosters for all ACGME neurosurgery programs from program websites and web archives, then traced each resident's outcome through faculty or practice biographies, match lists, and program announcements. Departures were classified in the ACGME schema (transfer, withdrawal or dismissal, death). Attrition was defined as leaving neurosurgery without graduating; transfer to another neurosurgery program was analyzed separately. The study window (academic years 2014–15 to 2023–24) is the longest period in which our departure counts agree with ACGME-reported totals.</w:t>
      </w:r>
    </w:p>
    <w:p w14:paraId="5EEFB73D" w14:textId="77777777" w:rsidR="00C9255A" w:rsidRDefault="00000000">
      <w:r>
        <w:rPr>
          <w:b/>
        </w:rPr>
        <w:t>Results:</w:t>
      </w:r>
      <w:r>
        <w:t xml:space="preserve"> Of 1,227 residents who entered in 2014–2018 (classes that have finished training), 85 (6.9%; 95% CI 5.6–8.5%) left neurosurgery without graduating. From 2014–15 to 2023–24, our annual resident counts differed from ACGME totals by ≤5.4%, and we captured 92% of ACGME-reported departures (240/262). Of 262 departures, 80 were transfers to another neurosurgery program, 2 were deaths, and 180 were exits from neurosurgery; destinations were found for 85% of these exits (68% independently confirmed). Of exits, 57% occurred in PGY-1–2, 31% in PGY-3–4, and 12% in PGY-5–7. Transfers made up 22% of junior, 38% of middle, and 45% of senior departures. Junior exits most often entered radiology (20%), anesthesiology (12%), or neurology (11%). Among exits, leaving clinical practice or an unknown destination rose with stage (21% junior, 25% middle, 45% senior). Across 118 programs, 32 had no attrition, and no program differed significantly from the national rate after correction for multiple comparisons.</w:t>
      </w:r>
    </w:p>
    <w:p w14:paraId="2D557A46" w14:textId="682A4910" w:rsidR="00C9255A" w:rsidRDefault="00000000">
      <w:r>
        <w:rPr>
          <w:b/>
        </w:rPr>
        <w:t>Conclusions:</w:t>
      </w:r>
      <w:r>
        <w:t xml:space="preserve"> </w:t>
      </w:r>
      <w:r w:rsidR="00BF619E">
        <w:t>f</w:t>
      </w:r>
    </w:p>
    <w:sectPr w:rsidR="00C925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006218">
    <w:abstractNumId w:val="8"/>
  </w:num>
  <w:num w:numId="2" w16cid:durableId="943921280">
    <w:abstractNumId w:val="6"/>
  </w:num>
  <w:num w:numId="3" w16cid:durableId="1492019096">
    <w:abstractNumId w:val="5"/>
  </w:num>
  <w:num w:numId="4" w16cid:durableId="557790702">
    <w:abstractNumId w:val="4"/>
  </w:num>
  <w:num w:numId="5" w16cid:durableId="1251043010">
    <w:abstractNumId w:val="7"/>
  </w:num>
  <w:num w:numId="6" w16cid:durableId="1287663712">
    <w:abstractNumId w:val="3"/>
  </w:num>
  <w:num w:numId="7" w16cid:durableId="1130171121">
    <w:abstractNumId w:val="2"/>
  </w:num>
  <w:num w:numId="8" w16cid:durableId="1832912541">
    <w:abstractNumId w:val="1"/>
  </w:num>
  <w:num w:numId="9" w16cid:durableId="192271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538"/>
    <w:rsid w:val="00AA1D8D"/>
    <w:rsid w:val="00B47730"/>
    <w:rsid w:val="00BF619E"/>
    <w:rsid w:val="00C925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964F9"/>
  <w14:defaultImageDpi w14:val="300"/>
  <w15:docId w15:val="{3832B4C9-38DF-D547-84E0-8511EEEF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2</cp:revision>
  <dcterms:created xsi:type="dcterms:W3CDTF">2013-12-23T23:15:00Z</dcterms:created>
  <dcterms:modified xsi:type="dcterms:W3CDTF">2026-10-02T02:53:00Z</dcterms:modified>
  <cp:category/>
</cp:coreProperties>
</file>