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50A17" w14:textId="77777777" w:rsidR="00D75298" w:rsidRDefault="00000000">
      <w:pPr>
        <w:pStyle w:val="Heading1"/>
      </w:pPr>
      <w:bookmarkStart w:id="0" w:name="header"/>
      <w:bookmarkStart w:id="1" w:name="abstract"/>
      <w:bookmarkStart w:id="2" w:name="content"/>
      <w:bookmarkEnd w:id="0"/>
      <w:r>
        <w:t>Abstract</w:t>
      </w:r>
    </w:p>
    <w:p w14:paraId="3731020D" w14:textId="1F6DAC88" w:rsidR="00D75298" w:rsidRDefault="00000000">
      <w:pPr>
        <w:pStyle w:val="FirstParagraph"/>
      </w:pPr>
      <w:r>
        <w:t xml:space="preserve">We examine a 60-day adaptive revision algorithm (as exemplified by “Neurema”) in light of cognitive science and neuroscience findings. Key features such as revision frequency, </w:t>
      </w:r>
      <w:r>
        <w:rPr>
          <w:b/>
          <w:bCs/>
        </w:rPr>
        <w:t>bubble sessions</w:t>
      </w:r>
      <w:r>
        <w:t xml:space="preserve"> (intensive re-study of failed items), daily study limits, and an item-specific </w:t>
      </w:r>
      <w:r>
        <w:rPr>
          <w:b/>
          <w:bCs/>
        </w:rPr>
        <w:t>ease factor</w:t>
      </w:r>
      <w:r>
        <w:t xml:space="preserve"> are evaluated for consistency with principles like the spacing effect, desirable difficulty, interleaved practice, and cognitive load theory. We find that while Neurema’s adaptive ease-factor spacing aligns broadly with spaced-repetition research, some features (e.g. bubble replays) may conflict with optimal spacing. We propose mathematically explicit scheduling rules to improve retention: e.g. model each item’s </w:t>
      </w:r>
      <w:r>
        <w:rPr>
          <w:b/>
          <w:bCs/>
        </w:rPr>
        <w:t>recall probability</w:t>
      </w:r>
      <w:r>
        <w:t xml:space="preserve"> as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sup>
        </m:sSup>
      </m:oMath>
      <w:r>
        <w:t xml:space="preserve"> and schedule its next review when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falls to a set threshold (solving </w:t>
      </w:r>
      <m:oMath>
        <m:sSub>
          <m:sSubPr>
            <m:ctrlPr>
              <w:rPr>
                <w:rFonts w:ascii="Cambria Math" w:hAnsi="Cambria Math"/>
              </w:rPr>
            </m:ctrlPr>
          </m:sSubPr>
          <m:e>
            <m:r>
              <w:rPr>
                <w:rFonts w:ascii="Cambria Math" w:hAnsi="Cambria Math"/>
              </w:rPr>
              <m:t>t</m:t>
            </m:r>
          </m:e>
          <m:sub>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ln</m:t>
        </m:r>
        <m:r>
          <w:rPr>
            <w:rFonts w:ascii="Cambria Math" w:hAnsi="Cambria Math"/>
          </w:rPr>
          <m:t>T</m:t>
        </m:r>
      </m:oMath>
      <w:r>
        <w:t xml:space="preserve"> ). The model’s parameters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or forgetting rate) are updated by each recall success/failure, akin to SuperMemo’s ease factor adjustment. These formulas are grounded in established memory models</w:t>
      </w:r>
      <w:hyperlink r:id="rId5" w:anchor=":~:text=with%20the%20Leitner%20system%20,review%20by%20greedily%20selecting%20the">
        <w:r>
          <w:rPr>
            <w:rStyle w:val="Hyperlink"/>
          </w:rPr>
          <w:t>[1]</w:t>
        </w:r>
      </w:hyperlink>
      <w:hyperlink r:id="rId6" w:anchor=":~:text=For%20two%20well,effectively%20than%20learners%20who%20follow">
        <w:r>
          <w:rPr>
            <w:rStyle w:val="Hyperlink"/>
          </w:rPr>
          <w:t>[2]</w:t>
        </w:r>
      </w:hyperlink>
      <w:r>
        <w:t>. We also recommend interleaving topics (rotating subjects each session) and enforcing cognitive-load-based caps on daily new material</w:t>
      </w:r>
      <w:hyperlink r:id="rId7" w:anchor=":~:text=domain,Many%20educational">
        <w:r>
          <w:rPr>
            <w:rStyle w:val="Hyperlink"/>
          </w:rPr>
          <w:t>[3]</w:t>
        </w:r>
      </w:hyperlink>
      <w:r>
        <w:t>. Finally, for shorter horizons (&lt;60 days), we suggest compressing intervals (e.g. scaling planned spacings by remaining_days/60) and intensifying review of high-difficulty items. These changes align with Ebbinghaus’s forgetting curve</w:t>
      </w:r>
      <w:hyperlink r:id="rId8" w:anchor=":~:text=The%20forgetting%20curve%20hypothesizes%20the,consciously%20review%20the%20learned%20material">
        <w:r>
          <w:rPr>
            <w:rStyle w:val="Hyperlink"/>
          </w:rPr>
          <w:t>[4]</w:t>
        </w:r>
      </w:hyperlink>
      <w:r>
        <w:t xml:space="preserve"> and the goal of reviewing items just before forgetting</w:t>
      </w:r>
      <w:hyperlink r:id="rId9" w:anchor=":~:text=with%20the%20Leitner%20system%20,review%20by%20greedily%20selecting%20the">
        <w:r>
          <w:rPr>
            <w:rStyle w:val="Hyperlink"/>
          </w:rPr>
          <w:t>[1]</w:t>
        </w:r>
      </w:hyperlink>
      <w:r>
        <w:t>.</w:t>
      </w:r>
    </w:p>
    <w:p w14:paraId="6E288390" w14:textId="77777777" w:rsidR="00D75298" w:rsidRDefault="00000000">
      <w:pPr>
        <w:pStyle w:val="Heading1"/>
      </w:pPr>
      <w:bookmarkStart w:id="3" w:name="introduction"/>
      <w:bookmarkEnd w:id="1"/>
      <w:r>
        <w:t>Introduction</w:t>
      </w:r>
    </w:p>
    <w:p w14:paraId="234C1929" w14:textId="77777777" w:rsidR="00D75298" w:rsidRDefault="00000000">
      <w:pPr>
        <w:pStyle w:val="FirstParagraph"/>
      </w:pPr>
      <w:r>
        <w:t xml:space="preserve">Effective exam preparation requires optimally scheduling revision of learned material. Modern learning platforms implement </w:t>
      </w:r>
      <w:r>
        <w:rPr>
          <w:b/>
          <w:bCs/>
        </w:rPr>
        <w:t>spaced repetition</w:t>
      </w:r>
      <w:r>
        <w:t xml:space="preserve"> algorithms to predict when a learner is about to forget an item, then prompt review at that time. For instance, systems like Anki or SuperMemo maintain an </w:t>
      </w:r>
      <w:r>
        <w:rPr>
          <w:i/>
          <w:iCs/>
        </w:rPr>
        <w:t>ease factor</w:t>
      </w:r>
      <w:r>
        <w:t xml:space="preserve"> for each card to space reviews. We assume the hypothetical “Neurema” algorithm has similar features: it tracks each topic or flashcard with an ease factor, limits daily reviews, and may use </w:t>
      </w:r>
      <w:r>
        <w:rPr>
          <w:b/>
          <w:bCs/>
        </w:rPr>
        <w:t>“bubble sessions”</w:t>
      </w:r>
      <w:r>
        <w:t xml:space="preserve"> to intensively re-teach recently forgotten items.</w:t>
      </w:r>
    </w:p>
    <w:p w14:paraId="396DF876" w14:textId="3284C059" w:rsidR="00D75298" w:rsidRDefault="00000000">
      <w:pPr>
        <w:pStyle w:val="BodyText"/>
      </w:pPr>
      <w:r>
        <w:t>This paper evaluates Neurema’s 60-day revision strategy against evidence-based learning principles from cognitive science and neuroscience. We review key phenomena (spacing effect, desirable difficulty, etc.) and assess how well the algorithm’s components align. We then propose explicit mathematical improvements</w:t>
      </w:r>
      <w:r w:rsidR="00213DD7">
        <w:t xml:space="preserve"> </w:t>
      </w:r>
      <w:r>
        <w:t>formulas for intervals and updates</w:t>
      </w:r>
      <w:r w:rsidR="00213DD7">
        <w:t xml:space="preserve"> </w:t>
      </w:r>
      <w:r>
        <w:t>grounded in research. Finally, we address how to adapt the strategy when the exam is sooner than 60 days. Our approach blends established spaced-repetition strategies (e.g. SuperMemo, Leitner boxes) with principles like Ebbinghaus’s forgetting curve</w:t>
      </w:r>
      <w:hyperlink r:id="rId10" w:anchor=":~:text=The%20forgetting%20curve%20hypothesizes%20the,consciously%20review%20the%20learned%20material">
        <w:r>
          <w:rPr>
            <w:rStyle w:val="Hyperlink"/>
          </w:rPr>
          <w:t>[4]</w:t>
        </w:r>
      </w:hyperlink>
      <w:hyperlink r:id="rId11" w:anchor=":~:text=For%20two%20well,effectively%20than%20learners%20who%20follow">
        <w:r>
          <w:rPr>
            <w:rStyle w:val="Hyperlink"/>
          </w:rPr>
          <w:t>[2]</w:t>
        </w:r>
      </w:hyperlink>
      <w:r>
        <w:t>, cognitive load limits</w:t>
      </w:r>
      <w:hyperlink r:id="rId12" w:anchor=":~:text=domain,Many%20educational">
        <w:r>
          <w:rPr>
            <w:rStyle w:val="Hyperlink"/>
          </w:rPr>
          <w:t>[3]</w:t>
        </w:r>
      </w:hyperlink>
      <w:r>
        <w:t>, and interleaving benefits</w:t>
      </w:r>
      <w:hyperlink r:id="rId13" w:anchor=":~:text=to%20learn%20formulas%20for%20calculating,a%20sample%20of%206%20paintings">
        <w:r>
          <w:rPr>
            <w:rStyle w:val="Hyperlink"/>
          </w:rPr>
          <w:t>[5]</w:t>
        </w:r>
      </w:hyperlink>
      <w:r>
        <w:t>, aiming to maximize retention with minimal effort.</w:t>
      </w:r>
    </w:p>
    <w:p w14:paraId="4AE1940B" w14:textId="77777777" w:rsidR="00D75298" w:rsidRDefault="00000000">
      <w:pPr>
        <w:pStyle w:val="Heading1"/>
      </w:pPr>
      <w:bookmarkStart w:id="4" w:name="X82f4f5583e36389306d3f592fe79d653f731105"/>
      <w:bookmarkEnd w:id="3"/>
      <w:r>
        <w:lastRenderedPageBreak/>
        <w:t>Background: Cognitive Principles of Learning</w:t>
      </w:r>
    </w:p>
    <w:p w14:paraId="4AF94748" w14:textId="77777777" w:rsidR="00D75298" w:rsidRDefault="00000000">
      <w:pPr>
        <w:pStyle w:val="FirstParagraph"/>
      </w:pPr>
      <w:r>
        <w:rPr>
          <w:b/>
          <w:bCs/>
        </w:rPr>
        <w:t>Spacing Effect.</w:t>
      </w:r>
      <w:r>
        <w:t xml:space="preserve"> The spacing effect is a robust finding: learning events spaced over time yield stronger long-term memory than massed (back-to-back) study</w:t>
      </w:r>
      <w:hyperlink r:id="rId14" w:anchor=":~:text=The%20spacing%20effect%20is%20the,proposing%20dual%20process%20models%20wherein">
        <w:r>
          <w:rPr>
            <w:rStyle w:val="Hyperlink"/>
          </w:rPr>
          <w:t>[6]</w:t>
        </w:r>
      </w:hyperlink>
      <w:hyperlink r:id="rId15" w:anchor=":~:text=practice%20,stress%20the%20importance%20of%20incorporat%02ing">
        <w:r>
          <w:rPr>
            <w:rStyle w:val="Hyperlink"/>
          </w:rPr>
          <w:t>[7]</w:t>
        </w:r>
      </w:hyperlink>
      <w:r>
        <w:t>. Classic experiments (Ebbinghaus 1885 onward) show that material reviewed just before forgetting leads to the best retention</w:t>
      </w:r>
      <w:hyperlink r:id="rId16" w:anchor=":~:text=The%20spacing%20effect%20is%20the,proposing%20dual%20process%20models%20wherein">
        <w:r>
          <w:rPr>
            <w:rStyle w:val="Hyperlink"/>
          </w:rPr>
          <w:t>[6]</w:t>
        </w:r>
      </w:hyperlink>
      <w:r>
        <w:t>. For example, distributing practice across days produces both better final test performance and much higher retention than cramming</w:t>
      </w:r>
      <w:hyperlink r:id="rId17" w:anchor=":~:text=Studies%20utilizing%20skill%20learning%20tasks,2016">
        <w:r>
          <w:rPr>
            <w:rStyle w:val="Hyperlink"/>
          </w:rPr>
          <w:t>[8]</w:t>
        </w:r>
      </w:hyperlink>
      <w:hyperlink r:id="rId18" w:anchor=":~:text=fre%02quently%20results%20in%20rapid%20gains,versus%20Blocking%20Instruction%20on%20Separate">
        <w:r>
          <w:rPr>
            <w:rStyle w:val="Hyperlink"/>
          </w:rPr>
          <w:t>[9]</w:t>
        </w:r>
      </w:hyperlink>
      <w:r>
        <w:t xml:space="preserve">. In fact, Bjork and colleagues emphasize that all-night cramming often </w:t>
      </w:r>
      <w:r>
        <w:rPr>
          <w:i/>
          <w:iCs/>
        </w:rPr>
        <w:t>seems</w:t>
      </w:r>
      <w:r>
        <w:t xml:space="preserve"> effective short-term but yields poor long-term recall</w:t>
      </w:r>
      <w:hyperlink r:id="rId19" w:anchor=":~:text=fre%02quently%20results%20in%20rapid%20gains,versus%20Blocking%20Instruction%20on%20Separate">
        <w:r>
          <w:rPr>
            <w:rStyle w:val="Hyperlink"/>
          </w:rPr>
          <w:t>[9]</w:t>
        </w:r>
      </w:hyperlink>
      <w:r>
        <w:t>. Thus, any revision schedule should increasingly space out successive reviews of a topic.</w:t>
      </w:r>
    </w:p>
    <w:p w14:paraId="58307477" w14:textId="77777777" w:rsidR="00D75298" w:rsidRDefault="00000000">
      <w:pPr>
        <w:pStyle w:val="BodyText"/>
      </w:pPr>
      <w:r>
        <w:rPr>
          <w:b/>
          <w:bCs/>
        </w:rPr>
        <w:t>Forgetting Curve.</w:t>
      </w:r>
      <w:r>
        <w:t xml:space="preserve"> Ebbinghaus’s forgetting curve models how retention decays exponentially without review</w:t>
      </w:r>
      <w:hyperlink r:id="rId20" w:anchor=":~:text=The%20forgetting%20curve%20hypothesizes%20the,consciously%20review%20the%20learned%20material">
        <w:r>
          <w:rPr>
            <w:rStyle w:val="Hyperlink"/>
          </w:rPr>
          <w:t>[4]</w:t>
        </w:r>
      </w:hyperlink>
      <w:r>
        <w:t>. Roughly speaking, a memory’s strength halves in days or weeks if not reactivated</w:t>
      </w:r>
      <w:hyperlink r:id="rId21" w:anchor=":~:text=The%20forgetting%20curve%20hypothesizes%20the,consciously%20review%20the%20learned%20material">
        <w:r>
          <w:rPr>
            <w:rStyle w:val="Hyperlink"/>
          </w:rPr>
          <w:t>[4]</w:t>
        </w:r>
      </w:hyperlink>
      <w:r>
        <w:t xml:space="preserve">. Each successful review boosts memory strength and re-sets the forgetting curve upward. Modern spaced-repetition algorithms often model this decay as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sup>
        </m:sSup>
      </m:oMath>
      <w:r>
        <w:t xml:space="preserve"> , where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(or its inverse) reflects difficulty. Research shows optimal schedules target reviews just as recall probability drops below a threshold</w:t>
      </w:r>
      <w:hyperlink r:id="rId22" w:anchor=":~:text=with%20the%20Leitner%20system%20,review%20by%20greedily%20selecting%20the">
        <w:r>
          <w:rPr>
            <w:rStyle w:val="Hyperlink"/>
          </w:rPr>
          <w:t>[1]</w:t>
        </w:r>
      </w:hyperlink>
      <w:r>
        <w:t>. Thus, an adaptive algorithm should estimate each item’s forgetting rate and schedule reviews when retention is low.</w:t>
      </w:r>
    </w:p>
    <w:p w14:paraId="55F0D4DE" w14:textId="77777777" w:rsidR="00D75298" w:rsidRDefault="00000000">
      <w:pPr>
        <w:pStyle w:val="BodyText"/>
      </w:pPr>
      <w:r>
        <w:rPr>
          <w:b/>
          <w:bCs/>
        </w:rPr>
        <w:t>Desirable Difficulty (Retrieval Practice).</w:t>
      </w:r>
      <w:r>
        <w:t xml:space="preserve"> Learning is enhanced when it is effortful and retrieval-based</w:t>
      </w:r>
      <w:hyperlink r:id="rId23" w:anchor=":~:text=Massed%20practice%20on%20a%20task%2C,or%20fail%20to%20learn%20and">
        <w:r>
          <w:rPr>
            <w:rStyle w:val="Hyperlink"/>
          </w:rPr>
          <w:t>[10]</w:t>
        </w:r>
      </w:hyperlink>
      <w:r>
        <w:t>. Massed practice leads to fast performance gains but poor retention</w:t>
      </w:r>
      <w:hyperlink r:id="rId24" w:anchor=":~:text=Massed%20practice%20on%20a%20task%2C,or%20fail%20to%20learn%20and">
        <w:r>
          <w:rPr>
            <w:rStyle w:val="Hyperlink"/>
          </w:rPr>
          <w:t>[10]</w:t>
        </w:r>
      </w:hyperlink>
      <w:r>
        <w:t>. In contrast, introducing “desirable difficulties” like spaced retrieval or testing boosts encoding. Bjork notes that forcing learners to retrieve under challenging conditions (spacing, variation, testing) creates stronger memory traces</w:t>
      </w:r>
      <w:hyperlink r:id="rId25" w:anchor=":~:text=Massed%20practice%20on%20a%20task%2C,or%20fail%20to%20learn%20and">
        <w:r>
          <w:rPr>
            <w:rStyle w:val="Hyperlink"/>
          </w:rPr>
          <w:t>[10]</w:t>
        </w:r>
      </w:hyperlink>
      <w:r>
        <w:t>. Thus, an algorithm should favor active recall (e.g. flashcard quizzes) over passive re-reading, and should not over-relax by presenting easy blocked review. In practice, this means a system should schedule items when they are on the verge of being forgotten (hard enough to require real effort) rather than repeatedly reviewing something still fresh.</w:t>
      </w:r>
    </w:p>
    <w:p w14:paraId="1323281C" w14:textId="77777777" w:rsidR="00D75298" w:rsidRDefault="00000000">
      <w:pPr>
        <w:pStyle w:val="BodyText"/>
      </w:pPr>
      <w:r>
        <w:rPr>
          <w:b/>
          <w:bCs/>
        </w:rPr>
        <w:t>Interleaved Practice.</w:t>
      </w:r>
      <w:r>
        <w:t xml:space="preserve"> Mixing different topics (interleaving) rather than studying one topic extensively (blocking) aids discrimination and learning</w:t>
      </w:r>
      <w:hyperlink r:id="rId26" w:anchor=":~:text=to%20learn%20formulas%20for%20calculating,a%20sample%20of%206%20paintings">
        <w:r>
          <w:rPr>
            <w:rStyle w:val="Hyperlink"/>
          </w:rPr>
          <w:t>[5]</w:t>
        </w:r>
      </w:hyperlink>
      <w:r>
        <w:t>. For example, interleaving math problem types or artist examples has yielded much higher long-term test performance, even though learners feel it is harder</w:t>
      </w:r>
      <w:hyperlink r:id="rId27" w:anchor=":~:text=to%20learn%20formulas%20for%20calculating,a%20sample%20of%206%20paintings">
        <w:r>
          <w:rPr>
            <w:rStyle w:val="Hyperlink"/>
          </w:rPr>
          <w:t>[5]</w:t>
        </w:r>
      </w:hyperlink>
      <w:r>
        <w:t>. In a typical experiment, students given interleaved practice solved 63% of novel problems a week later versus only 20% for those who had blocked practice</w:t>
      </w:r>
      <w:hyperlink r:id="rId28" w:anchor=":~:text=to%20learn%20formulas%20for%20calculating,a%20sample%20of%206%20paintings">
        <w:r>
          <w:rPr>
            <w:rStyle w:val="Hyperlink"/>
          </w:rPr>
          <w:t>[5]</w:t>
        </w:r>
      </w:hyperlink>
      <w:r>
        <w:t>. Interleaving acts as a desirable difficulty by varying contexts and forcing the learner to choose the correct strategy each time. An effective revision schedule should, therefore, rotate through topics rather than exhaust one subject at a time</w:t>
      </w:r>
      <w:hyperlink r:id="rId29" w:anchor=":~:text=to%20learn%20formulas%20for%20calculating,a%20sample%20of%206%20paintings">
        <w:r>
          <w:rPr>
            <w:rStyle w:val="Hyperlink"/>
          </w:rPr>
          <w:t>[5]</w:t>
        </w:r>
      </w:hyperlink>
      <w:r>
        <w:t>.</w:t>
      </w:r>
    </w:p>
    <w:p w14:paraId="46C67D62" w14:textId="77777777" w:rsidR="00D75298" w:rsidRDefault="00000000">
      <w:pPr>
        <w:pStyle w:val="BodyText"/>
      </w:pPr>
      <w:r>
        <w:rPr>
          <w:b/>
          <w:bCs/>
        </w:rPr>
        <w:t>Cognitive Load Theory.</w:t>
      </w:r>
      <w:r>
        <w:t xml:space="preserve"> Human working memory is limited</w:t>
      </w:r>
      <w:hyperlink r:id="rId30" w:anchor=":~:text=domain,Many%20educational">
        <w:r>
          <w:rPr>
            <w:rStyle w:val="Hyperlink"/>
          </w:rPr>
          <w:t>[3]</w:t>
        </w:r>
      </w:hyperlink>
      <w:r>
        <w:t>. Sweller’s Cognitive Load Theory warns that if a learning task overwhelms short-term memory, retention suffers</w:t>
      </w:r>
      <w:hyperlink r:id="rId31" w:anchor=":~:text=domain,Many%20educational">
        <w:r>
          <w:rPr>
            <w:rStyle w:val="Hyperlink"/>
          </w:rPr>
          <w:t>[3]</w:t>
        </w:r>
      </w:hyperlink>
      <w:r>
        <w:t>. Extraneous load (poor instructions, too much content at once) should be minimized</w:t>
      </w:r>
      <w:hyperlink r:id="rId32" w:anchor=":~:text=domain,Many%20educational">
        <w:r>
          <w:rPr>
            <w:rStyle w:val="Hyperlink"/>
          </w:rPr>
          <w:t>[3]</w:t>
        </w:r>
      </w:hyperlink>
      <w:r>
        <w:t>, while germane load (effortful processing) is desirable. In practice, this implies a study algorithm must cap daily new material and avoid overwhelming sessions</w:t>
      </w:r>
      <w:hyperlink r:id="rId33" w:anchor=":~:text=domain,Many%20educational">
        <w:r>
          <w:rPr>
            <w:rStyle w:val="Hyperlink"/>
          </w:rPr>
          <w:t>[3]</w:t>
        </w:r>
      </w:hyperlink>
      <w:r>
        <w:t xml:space="preserve">. A fixed “daily </w:t>
      </w:r>
      <w:r>
        <w:lastRenderedPageBreak/>
        <w:t>cap” on reviews can help respect these limits by ensuring learners do not exceed their processing capacity in one sitting.</w:t>
      </w:r>
    </w:p>
    <w:p w14:paraId="47C4EFD1" w14:textId="77777777" w:rsidR="00D75298" w:rsidRDefault="00000000">
      <w:pPr>
        <w:pStyle w:val="Heading1"/>
      </w:pPr>
      <w:bookmarkStart w:id="5" w:name="review-of-the-current-algorithm-neurema"/>
      <w:bookmarkEnd w:id="4"/>
      <w:r>
        <w:t>Review of the Current Algorithm (“Neurema”)</w:t>
      </w:r>
    </w:p>
    <w:p w14:paraId="69310F3F" w14:textId="77777777" w:rsidR="00D75298" w:rsidRDefault="00000000">
      <w:pPr>
        <w:pStyle w:val="FirstParagraph"/>
      </w:pPr>
      <w:r>
        <w:t>Assuming Neurema follows a typical adaptive flashcard model, its core features likely include:</w:t>
      </w:r>
    </w:p>
    <w:p w14:paraId="1A22DA6D" w14:textId="77777777" w:rsidR="00D75298" w:rsidRDefault="00000000">
      <w:pPr>
        <w:numPr>
          <w:ilvl w:val="0"/>
          <w:numId w:val="2"/>
        </w:numPr>
      </w:pPr>
      <w:r>
        <w:rPr>
          <w:b/>
          <w:bCs/>
        </w:rPr>
        <w:t>Revision Frequency:</w:t>
      </w:r>
      <w:r>
        <w:t xml:space="preserve"> Each topic/card is reviewed at intervals determined by past performance and an ease factor. For example, items answered correctly see their next interval increased (perhaps multiplied by the ease factor), while items answered incorrectly are reprioritized for sooner review. This echoes SuperMemo’s SM-2 algorithm and similar models, where correct recalls lengthen intervals and forgetting shortens them. Such spacing (increasing gaps after each success) is consistent with the spacing effect and the notion of reviewing just before forgetting</w:t>
      </w:r>
      <w:hyperlink r:id="rId34" w:anchor=":~:text=with%20the%20Leitner%20system%20,review%20by%20greedily%20selecting%20the">
        <w:r>
          <w:rPr>
            <w:rStyle w:val="Hyperlink"/>
          </w:rPr>
          <w:t>[1]</w:t>
        </w:r>
      </w:hyperlink>
      <w:r>
        <w:t>.</w:t>
      </w:r>
    </w:p>
    <w:p w14:paraId="462248B6" w14:textId="77777777" w:rsidR="00D75298" w:rsidRDefault="00000000">
      <w:pPr>
        <w:numPr>
          <w:ilvl w:val="0"/>
          <w:numId w:val="2"/>
        </w:numPr>
      </w:pPr>
      <w:r>
        <w:rPr>
          <w:b/>
          <w:bCs/>
        </w:rPr>
        <w:t>Ease Factor:</w:t>
      </w:r>
      <w:r>
        <w:t xml:space="preserve"> Each item has an “ease factor”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reflecting its difficulty: high for easy items (leading to long gaps) and low for hard items (short gaps). After each review,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updated based on the quality of recall (as in SuperMemo’s formula). This adaptive scaling is well-aligned with personalized spacing: easy cards are shown less often, hard cards more often, matching research on efficiency (SuperMemo’s approach ensures “learners spend more time on forgotten items”</w:t>
      </w:r>
      <w:hyperlink r:id="rId35" w:anchor=":~:text=these%20empirical%20studies%20have%20motivated,recalled%29%20information">
        <w:r>
          <w:rPr>
            <w:rStyle w:val="Hyperlink"/>
          </w:rPr>
          <w:t>[11]</w:t>
        </w:r>
      </w:hyperlink>
      <w:r>
        <w:t>).</w:t>
      </w:r>
    </w:p>
    <w:p w14:paraId="2C4C420A" w14:textId="77777777" w:rsidR="00D75298" w:rsidRDefault="00000000">
      <w:pPr>
        <w:numPr>
          <w:ilvl w:val="0"/>
          <w:numId w:val="2"/>
        </w:numPr>
      </w:pPr>
      <w:r>
        <w:rPr>
          <w:b/>
          <w:bCs/>
        </w:rPr>
        <w:t>Bubble Sessions:</w:t>
      </w:r>
      <w:r>
        <w:t xml:space="preserve"> If a student fails an item, Neurema reportedly uses “bubble sessions” to re-present that material intensively (e.g. immediately or in the same session). The intent may be to consolidate weak items quickly. However, cognitive science suggests caution: repeated immediate re-exposure of a just-forgotten item is essentially massed practice (low lag between attempts), which can boost short-term performance but not long-term retention</w:t>
      </w:r>
      <w:hyperlink r:id="rId36" w:anchor=":~:text=Massed%20practice%20on%20a%20task%2C,or%20fail%20to%20learn%20and">
        <w:r>
          <w:rPr>
            <w:rStyle w:val="Hyperlink"/>
          </w:rPr>
          <w:t>[10]</w:t>
        </w:r>
      </w:hyperlink>
      <w:r>
        <w:t>. In terms of spacing effect, bubble sessions may violate optimal spacing, possibly hindering the long-term gain of spacing. On the other hand, immediate corrective feedback can be viewed as a desirable difficulty if it still requires effortful retrieval (as opposed to merely repeating the answer). The net effect depends on implementation details: ideally, even bubble repeats should introduce some delay or other difficulty (e.g. slightly scrambled context) to preserve retrieval effort.</w:t>
      </w:r>
    </w:p>
    <w:p w14:paraId="048E3DE5" w14:textId="77777777" w:rsidR="00D75298" w:rsidRDefault="00000000">
      <w:pPr>
        <w:numPr>
          <w:ilvl w:val="0"/>
          <w:numId w:val="2"/>
        </w:numPr>
      </w:pPr>
      <w:r>
        <w:rPr>
          <w:b/>
          <w:bCs/>
        </w:rPr>
        <w:t>Daily Cap:</w:t>
      </w:r>
      <w:r>
        <w:t xml:space="preserve"> Neurema enforces a cap on the number of reviews per day (cognitive-load control). This aligns well with cognitive load theory: limiting total items helps avoid overload and keeps session length manageable</w:t>
      </w:r>
      <w:hyperlink r:id="rId37" w:anchor=":~:text=domain,Many%20educational">
        <w:r>
          <w:rPr>
            <w:rStyle w:val="Hyperlink"/>
          </w:rPr>
          <w:t>[3]</w:t>
        </w:r>
      </w:hyperlink>
      <w:r>
        <w:t xml:space="preserve">. A cap also implicitly handles interleaving: with a fixed budget, the algorithm must prioritize which items to review (hopefully mixing topics rather than focusing on one). If configured sensibly, a daily limit plus a prioritization mechanism can ensure a mix of new and </w:t>
      </w:r>
      <w:r>
        <w:lastRenderedPageBreak/>
        <w:t>review items each day (similar to how Leitner boxes or Anki users set a daily review limit).</w:t>
      </w:r>
    </w:p>
    <w:p w14:paraId="5FE93FE0" w14:textId="77777777" w:rsidR="00D75298" w:rsidRDefault="00000000">
      <w:pPr>
        <w:pStyle w:val="FirstParagraph"/>
      </w:pPr>
      <w:r>
        <w:t>Overall, Neurema’s structure leverages key learning principles: it spaces repetition adaptively (consistently with spacing and forgetting curve models) and adjusts to difficulty via ease factors. Its daily cap honors working-memory limits. However, bubble sessions introduce a caveat: they may partially undermine the benefits of spacing by re-massing recently learned content. Additionally, it is unclear how explicitly interleaving is enforced; if Neurema simply pulls the most urgent items regardless of topic, it likely achieves some interleaving, but a design that actively rotates among subjects would better embody that principle</w:t>
      </w:r>
      <w:hyperlink r:id="rId38" w:anchor=":~:text=to%20learn%20formulas%20for%20calculating,a%20sample%20of%206%20paintings">
        <w:r>
          <w:rPr>
            <w:rStyle w:val="Hyperlink"/>
          </w:rPr>
          <w:t>[5]</w:t>
        </w:r>
      </w:hyperlink>
      <w:r>
        <w:t>.</w:t>
      </w:r>
    </w:p>
    <w:p w14:paraId="12444B5F" w14:textId="77777777" w:rsidR="00D75298" w:rsidRDefault="00000000">
      <w:pPr>
        <w:pStyle w:val="Heading1"/>
      </w:pPr>
      <w:bookmarkStart w:id="6" w:name="proposed-improvements"/>
      <w:bookmarkEnd w:id="5"/>
      <w:r>
        <w:t>Proposed Improvements</w:t>
      </w:r>
    </w:p>
    <w:p w14:paraId="610C2A91" w14:textId="77777777" w:rsidR="00D75298" w:rsidRDefault="00000000">
      <w:pPr>
        <w:pStyle w:val="FirstParagraph"/>
      </w:pPr>
      <w:r>
        <w:t>To optimize Neurema for 60-day revision using evidence-backed strategies, we suggest the following enhancements. Where possible, we provide mathematical formulas for scheduling updates (in place of pseudocode).</w:t>
      </w:r>
    </w:p>
    <w:p w14:paraId="2AC9D937" w14:textId="77777777" w:rsidR="00D75298" w:rsidRDefault="00000000">
      <w:pPr>
        <w:pStyle w:val="Compact"/>
        <w:numPr>
          <w:ilvl w:val="0"/>
          <w:numId w:val="3"/>
        </w:numPr>
      </w:pPr>
      <w:r>
        <w:rPr>
          <w:b/>
          <w:bCs/>
        </w:rPr>
        <w:t>Memory-Decay Model &amp; Threshold Scheduling:</w:t>
      </w:r>
      <w:r>
        <w:t xml:space="preserve"> Adopt an explicit forgetting-curve model. Let each item </w:t>
      </w:r>
      <m:oMath>
        <m:r>
          <w:rPr>
            <w:rFonts w:ascii="Cambria Math" w:hAnsi="Cambria Math"/>
          </w:rPr>
          <m:t>i</m:t>
        </m:r>
      </m:oMath>
      <w:r>
        <w:t xml:space="preserve"> have a memory </w:t>
      </w:r>
      <w:r>
        <w:rPr>
          <w:i/>
          <w:iCs/>
        </w:rPr>
        <w:t>stability</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(related to half-life) or a forgetting rate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Model the recall probability at time </w:t>
      </w:r>
      <m:oMath>
        <m:r>
          <w:rPr>
            <w:rFonts w:ascii="Cambria Math" w:hAnsi="Cambria Math"/>
          </w:rPr>
          <m:t>t</m:t>
        </m:r>
      </m:oMath>
      <w:r>
        <w:t xml:space="preserve"> since last review as</w:t>
      </w:r>
      <w:r>
        <w:br/>
      </w:r>
    </w:p>
    <w:p w14:paraId="1C9ED2F9" w14:textId="77777777" w:rsidR="00D75298" w:rsidRDefault="00000000">
      <w:pPr>
        <w:pStyle w:val="Compact"/>
        <w:numPr>
          <w:ilvl w:val="0"/>
          <w:numId w:val="1"/>
        </w:numPr>
      </w:pP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e>
            </m:d>
          </m:e>
        </m:d>
        <m:r>
          <m:rPr>
            <m:sty m:val="p"/>
          </m:rPr>
          <w:rPr>
            <w:rFonts w:ascii="Cambria Math" w:hAnsi="Cambria Math"/>
          </w:rPr>
          <m:t>.</m:t>
        </m:r>
      </m:oMath>
    </w:p>
    <w:p w14:paraId="14105295" w14:textId="77777777" w:rsidR="00D75298" w:rsidRDefault="00000000">
      <w:pPr>
        <w:pStyle w:val="Compact"/>
        <w:numPr>
          <w:ilvl w:val="0"/>
          <w:numId w:val="1"/>
        </w:numPr>
      </w:pPr>
      <w:r>
        <w:br/>
        <w:t xml:space="preserve">After each review, update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(or equivalently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based on outcome: e.g. if the recall is correct, decrease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by a factor (making memory decay slower); if incorrect, increase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(memory decays faster). One simple rule inspired by half-life regression is:</w:t>
      </w:r>
      <w:r>
        <w:br/>
      </w:r>
    </w:p>
    <w:p w14:paraId="513CD37A" w14:textId="77777777" w:rsidR="00D75298" w:rsidRDefault="00000000">
      <w:pPr>
        <w:pStyle w:val="Compact"/>
        <w:numPr>
          <w:ilvl w:val="0"/>
          <w:numId w:val="1"/>
        </w:numPr>
      </w:pPr>
      <m:oMath>
        <m:sSubSup>
          <m:sSubSupPr>
            <m:ctrlPr>
              <w:rPr>
                <w:rFonts w:ascii="Cambria Math" w:hAnsi="Cambria Math"/>
              </w:rPr>
            </m:ctrlPr>
          </m:sSubSupPr>
          <m:e>
            <m:r>
              <w:rPr>
                <w:rFonts w:ascii="Cambria Math" w:hAnsi="Cambria Math"/>
              </w:rPr>
              <m:t>λ</m:t>
            </m:r>
          </m:e>
          <m:sub>
            <m:r>
              <w:rPr>
                <w:rFonts w:ascii="Cambria Math" w:hAnsi="Cambria Math"/>
              </w:rPr>
              <m:t>i</m:t>
            </m:r>
          </m:sub>
          <m:sup>
            <m:r>
              <m:rPr>
                <m:nor/>
              </m:rPr>
              <m:t>new</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λ</m:t>
                      </m:r>
                    </m:e>
                    <m:sub>
                      <m:r>
                        <w:rPr>
                          <w:rFonts w:ascii="Cambria Math" w:hAnsi="Cambria Math"/>
                        </w:rPr>
                        <m:t>i</m:t>
                      </m:r>
                    </m:sub>
                    <m:sup>
                      <m:r>
                        <m:rPr>
                          <m:nor/>
                        </m:rPr>
                        <m:t>old</m:t>
                      </m:r>
                    </m:sup>
                  </m:sSubSup>
                  <m:r>
                    <m:rPr>
                      <m:sty m:val="p"/>
                    </m:rPr>
                    <w:rPr>
                      <w:rFonts w:ascii="Cambria Math" w:hAnsi="Cambria Math"/>
                    </w:rPr>
                    <m:t>⋅</m:t>
                  </m:r>
                  <m:r>
                    <w:rPr>
                      <w:rFonts w:ascii="Cambria Math" w:hAnsi="Cambria Math"/>
                    </w:rPr>
                    <m:t>α</m:t>
                  </m:r>
                  <m:r>
                    <m:rPr>
                      <m:sty m:val="p"/>
                    </m:rPr>
                    <w:rPr>
                      <w:rFonts w:ascii="Cambria Math" w:hAnsi="Cambria Math"/>
                    </w:rPr>
                    <m:t>,</m:t>
                  </m:r>
                </m:e>
                <m:e>
                  <m:r>
                    <m:rPr>
                      <m:nor/>
                    </m:rPr>
                    <m:t>if recalled correctly</m:t>
                  </m:r>
                  <m:r>
                    <m:rPr>
                      <m:sty m:val="p"/>
                    </m:rPr>
                    <w:rPr>
                      <w:rFonts w:ascii="Cambria Math" w:hAnsi="Cambria Math"/>
                    </w:rPr>
                    <m:t>,</m:t>
                  </m:r>
                </m:e>
              </m:mr>
              <m:mr>
                <m:e>
                  <m:sSubSup>
                    <m:sSubSupPr>
                      <m:ctrlPr>
                        <w:rPr>
                          <w:rFonts w:ascii="Cambria Math" w:hAnsi="Cambria Math"/>
                        </w:rPr>
                      </m:ctrlPr>
                    </m:sSubSupPr>
                    <m:e>
                      <m:r>
                        <w:rPr>
                          <w:rFonts w:ascii="Cambria Math" w:hAnsi="Cambria Math"/>
                        </w:rPr>
                        <m:t>λ</m:t>
                      </m:r>
                    </m:e>
                    <m:sub>
                      <m:r>
                        <w:rPr>
                          <w:rFonts w:ascii="Cambria Math" w:hAnsi="Cambria Math"/>
                        </w:rPr>
                        <m:t>i</m:t>
                      </m:r>
                    </m:sub>
                    <m:sup>
                      <m:r>
                        <m:rPr>
                          <m:nor/>
                        </m:rPr>
                        <m:t>old</m:t>
                      </m:r>
                    </m:sup>
                  </m:sSubSup>
                  <m:r>
                    <m:rPr>
                      <m:sty m:val="p"/>
                    </m:rPr>
                    <w:rPr>
                      <w:rFonts w:ascii="Cambria Math" w:hAnsi="Cambria Math"/>
                    </w:rPr>
                    <m:t>/</m:t>
                  </m:r>
                  <m:r>
                    <w:rPr>
                      <w:rFonts w:ascii="Cambria Math" w:hAnsi="Cambria Math"/>
                    </w:rPr>
                    <m:t>β</m:t>
                  </m:r>
                  <m:r>
                    <m:rPr>
                      <m:sty m:val="p"/>
                    </m:rPr>
                    <w:rPr>
                      <w:rFonts w:ascii="Cambria Math" w:hAnsi="Cambria Math"/>
                    </w:rPr>
                    <m:t>,</m:t>
                  </m:r>
                </m:e>
                <m:e>
                  <m:r>
                    <m:rPr>
                      <m:nor/>
                    </m:rPr>
                    <m:t>if forgotten</m:t>
                  </m:r>
                  <m:r>
                    <m:rPr>
                      <m:sty m:val="p"/>
                    </m:rPr>
                    <w:rPr>
                      <w:rFonts w:ascii="Cambria Math" w:hAnsi="Cambria Math"/>
                    </w:rPr>
                    <m:t>,</m:t>
                  </m:r>
                </m:e>
              </m:mr>
            </m:m>
          </m:e>
        </m:d>
      </m:oMath>
    </w:p>
    <w:p w14:paraId="2589D5C0" w14:textId="77777777" w:rsidR="00D75298" w:rsidRDefault="00000000">
      <w:pPr>
        <w:pStyle w:val="Compact"/>
        <w:numPr>
          <w:ilvl w:val="0"/>
          <w:numId w:val="1"/>
        </w:numPr>
      </w:pPr>
      <w:r>
        <w:br/>
        <w:t xml:space="preserve">where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1</m:t>
        </m:r>
        <m:r>
          <m:rPr>
            <m:sty m:val="p"/>
          </m:rPr>
          <w:rPr>
            <w:rFonts w:ascii="Cambria Math" w:hAnsi="Cambria Math"/>
          </w:rPr>
          <m:t>&lt;</m:t>
        </m:r>
        <m:r>
          <w:rPr>
            <w:rFonts w:ascii="Cambria Math" w:hAnsi="Cambria Math"/>
          </w:rPr>
          <m:t>β</m:t>
        </m:r>
      </m:oMath>
      <w:r>
        <w:t xml:space="preserve"> are constants (tunable via data). A successful recall thus multiplies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by </w:t>
      </w:r>
      <m:oMath>
        <m:r>
          <w:rPr>
            <w:rFonts w:ascii="Cambria Math" w:hAnsi="Cambria Math"/>
          </w:rPr>
          <m:t>α</m:t>
        </m:r>
      </m:oMath>
      <w:r>
        <w:t xml:space="preserve"> (slowing forgetting), while a failure divides by </w:t>
      </w:r>
      <m:oMath>
        <m:r>
          <w:rPr>
            <w:rFonts w:ascii="Cambria Math" w:hAnsi="Cambria Math"/>
          </w:rPr>
          <m:t>β</m:t>
        </m:r>
      </m:oMath>
      <w:r>
        <w:t xml:space="preserve"> (speeding forgetting). This aligns with findings that each successful retrieval multiplicatively strengthens memory stability</w:t>
      </w:r>
      <w:hyperlink r:id="rId39" w:anchor=":~:text=half,refer%20to">
        <w:r>
          <w:rPr>
            <w:rStyle w:val="Hyperlink"/>
          </w:rPr>
          <w:t>[12]</w:t>
        </w:r>
      </w:hyperlink>
      <w:r>
        <w:t>.</w:t>
      </w:r>
    </w:p>
    <w:p w14:paraId="33D9E5D7" w14:textId="77777777" w:rsidR="00D75298" w:rsidRDefault="00000000">
      <w:pPr>
        <w:pStyle w:val="FirstParagraph"/>
      </w:pPr>
      <w:r>
        <w:rPr>
          <w:b/>
          <w:bCs/>
        </w:rPr>
        <w:t>Scheduling Rule:</w:t>
      </w:r>
      <w:r>
        <w:t xml:space="preserve"> Set a retention threshold </w:t>
      </w:r>
      <m:oMath>
        <m:sSub>
          <m:sSubPr>
            <m:ctrlPr>
              <w:rPr>
                <w:rFonts w:ascii="Cambria Math" w:hAnsi="Cambria Math"/>
              </w:rPr>
            </m:ctrlPr>
          </m:sSubPr>
          <m:e>
            <m:r>
              <w:rPr>
                <w:rFonts w:ascii="Cambria Math" w:hAnsi="Cambria Math"/>
              </w:rPr>
              <m:t>R</m:t>
            </m:r>
          </m:e>
          <m:sub>
            <m:r>
              <m:rPr>
                <m:nor/>
              </m:rPr>
              <m:t>th</m:t>
            </m:r>
          </m:sub>
        </m:sSub>
      </m:oMath>
      <w:r>
        <w:t xml:space="preserve"> (e.g. 0.9 or 0.8). Schedule the next review for item </w:t>
      </w:r>
      <m:oMath>
        <m:r>
          <w:rPr>
            <w:rFonts w:ascii="Cambria Math" w:hAnsi="Cambria Math"/>
          </w:rPr>
          <m:t>i</m:t>
        </m:r>
      </m:oMath>
      <w:r>
        <w:t xml:space="preserve"> at time </w:t>
      </w:r>
      <m:oMath>
        <m:sSub>
          <m:sSubPr>
            <m:ctrlPr>
              <w:rPr>
                <w:rFonts w:ascii="Cambria Math" w:hAnsi="Cambria Math"/>
              </w:rPr>
            </m:ctrlPr>
          </m:sSubPr>
          <m:e>
            <m:r>
              <w:rPr>
                <w:rFonts w:ascii="Cambria Math" w:hAnsi="Cambria Math"/>
              </w:rPr>
              <m:t>t</m:t>
            </m:r>
          </m:e>
          <m:sub>
            <m:r>
              <m:rPr>
                <m:nor/>
              </m:rPr>
              <m:t>next</m:t>
            </m:r>
          </m:sub>
        </m:sSub>
      </m:oMath>
      <w:r>
        <w:t xml:space="preserve"> when its predicted recall probability will reach </w:t>
      </w:r>
      <m:oMath>
        <m:sSub>
          <m:sSubPr>
            <m:ctrlPr>
              <w:rPr>
                <w:rFonts w:ascii="Cambria Math" w:hAnsi="Cambria Math"/>
              </w:rPr>
            </m:ctrlPr>
          </m:sSubPr>
          <m:e>
            <m:r>
              <w:rPr>
                <w:rFonts w:ascii="Cambria Math" w:hAnsi="Cambria Math"/>
              </w:rPr>
              <m:t>R</m:t>
            </m:r>
          </m:e>
          <m:sub>
            <m:r>
              <m:rPr>
                <m:nor/>
              </m:rPr>
              <m:t>th</m:t>
            </m:r>
          </m:sub>
        </m:sSub>
      </m:oMath>
      <w:r>
        <w:t xml:space="preserve"> . Solve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next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th</m:t>
            </m:r>
          </m:sub>
        </m:sSub>
      </m:oMath>
      <w:r>
        <w:t xml:space="preserve"> , yielding</w:t>
      </w:r>
      <w:r>
        <w:br/>
      </w:r>
    </w:p>
    <w:p w14:paraId="495340B2" w14:textId="77777777" w:rsidR="00D75298"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next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i</m:t>
                  </m:r>
                </m:sub>
              </m:sSub>
            </m:den>
          </m:f>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th</m:t>
                  </m:r>
                </m:sub>
              </m:sSub>
            </m:e>
          </m:d>
          <m:r>
            <m:rPr>
              <m:sty m:val="p"/>
            </m:rPr>
            <w:rPr>
              <w:rFonts w:ascii="Cambria Math" w:hAnsi="Cambria Math"/>
            </w:rPr>
            <m:t>.</m:t>
          </m:r>
        </m:oMath>
      </m:oMathPara>
    </w:p>
    <w:p w14:paraId="19E5D378" w14:textId="77777777" w:rsidR="00D75298" w:rsidRDefault="00000000">
      <w:pPr>
        <w:pStyle w:val="FirstParagraph"/>
      </w:pPr>
      <w:r>
        <w:br/>
        <w:t xml:space="preserve">In practice, </w:t>
      </w:r>
      <m:oMath>
        <m:sSub>
          <m:sSubPr>
            <m:ctrlPr>
              <w:rPr>
                <w:rFonts w:ascii="Cambria Math" w:hAnsi="Cambria Math"/>
              </w:rPr>
            </m:ctrlPr>
          </m:sSubPr>
          <m:e>
            <m:r>
              <w:rPr>
                <w:rFonts w:ascii="Cambria Math" w:hAnsi="Cambria Math"/>
              </w:rPr>
              <m:t>R</m:t>
            </m:r>
          </m:e>
          <m:sub>
            <m:r>
              <m:rPr>
                <m:nor/>
              </m:rPr>
              <m:t>th</m:t>
            </m:r>
          </m:sub>
        </m:sSub>
      </m:oMath>
      <w:r>
        <w:t xml:space="preserve"> can be chosen to balance effort and retention. This formula ensures each item is reviewed </w:t>
      </w:r>
      <w:r>
        <w:rPr>
          <w:i/>
          <w:iCs/>
        </w:rPr>
        <w:t>just as</w:t>
      </w:r>
      <w:r>
        <w:t xml:space="preserve"> it is about to be forgotten, in line with optimal control results</w:t>
      </w:r>
      <w:hyperlink r:id="rId40" w:anchor=":~:text=with%20the%20Leitner%20system%20,review%20by%20greedily%20selecting%20the">
        <w:r>
          <w:rPr>
            <w:rStyle w:val="Hyperlink"/>
          </w:rPr>
          <w:t>[1]</w:t>
        </w:r>
      </w:hyperlink>
      <w:hyperlink r:id="rId41" w:anchor=":~:text=For%20two%20well,effectively%20than%20learners%20who%20follow">
        <w:r>
          <w:rPr>
            <w:rStyle w:val="Hyperlink"/>
          </w:rPr>
          <w:t>[2]</w:t>
        </w:r>
      </w:hyperlink>
      <w:r>
        <w:t>.</w:t>
      </w:r>
    </w:p>
    <w:p w14:paraId="20EE5E2A" w14:textId="77777777" w:rsidR="00D75298" w:rsidRDefault="00000000">
      <w:pPr>
        <w:numPr>
          <w:ilvl w:val="0"/>
          <w:numId w:val="4"/>
        </w:numPr>
      </w:pPr>
      <w:r>
        <w:rPr>
          <w:b/>
          <w:bCs/>
        </w:rPr>
        <w:t>Ease Factor Update (SM-2 Style):</w:t>
      </w:r>
      <w:r>
        <w:t xml:space="preserve"> Alternatively (or complementarily), one can keep an ease factor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per item as in SuperMemo SM-2. After each review with quality score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(5=perfect recall), update:</w:t>
      </w:r>
      <w:r>
        <w:br/>
      </w:r>
    </w:p>
    <w:p w14:paraId="739F343E" w14:textId="77777777" w:rsidR="00D75298" w:rsidRDefault="00000000">
      <w:pPr>
        <w:pStyle w:val="Compact"/>
        <w:numPr>
          <w:ilvl w:val="0"/>
          <w:numId w:val="1"/>
        </w:numPr>
      </w:p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q</m:t>
                </m:r>
              </m:e>
            </m:d>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0.02</m:t>
                </m:r>
              </m:e>
            </m:d>
          </m:e>
        </m:d>
        <m:r>
          <m:rPr>
            <m:sty m:val="p"/>
          </m:rPr>
          <w:rPr>
            <w:rFonts w:ascii="Cambria Math" w:hAnsi="Cambria Math"/>
          </w:rPr>
          <m:t>,</m:t>
        </m:r>
      </m:oMath>
    </w:p>
    <w:p w14:paraId="3DA41733" w14:textId="77777777" w:rsidR="00D75298" w:rsidRDefault="00000000">
      <w:pPr>
        <w:numPr>
          <w:ilvl w:val="0"/>
          <w:numId w:val="1"/>
        </w:numPr>
      </w:pPr>
      <w:r>
        <w:br/>
        <w:t xml:space="preserve">with a floor (e.g.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1.3</m:t>
        </m:r>
      </m:oMath>
      <w:r>
        <w:t xml:space="preserve"> ). Then if </w:t>
      </w:r>
      <m:oMath>
        <m:r>
          <w:rPr>
            <w:rFonts w:ascii="Cambria Math" w:hAnsi="Cambria Math"/>
          </w:rPr>
          <m:t>q</m:t>
        </m:r>
        <m:r>
          <m:rPr>
            <m:sty m:val="p"/>
          </m:rPr>
          <w:rPr>
            <w:rFonts w:ascii="Cambria Math" w:hAnsi="Cambria Math"/>
          </w:rPr>
          <m:t>≥</m:t>
        </m:r>
        <m:r>
          <w:rPr>
            <w:rFonts w:ascii="Cambria Math" w:hAnsi="Cambria Math"/>
          </w:rPr>
          <m:t>3</m:t>
        </m:r>
      </m:oMath>
      <w:r>
        <w:t xml:space="preserve"> (success), set next interval</w:t>
      </w:r>
      <w:r>
        <w:br/>
      </w:r>
    </w:p>
    <w:p w14:paraId="5B1ACFED" w14:textId="77777777" w:rsidR="00D75298" w:rsidRDefault="00000000">
      <w:pPr>
        <w:pStyle w:val="Compact"/>
        <w:numPr>
          <w:ilvl w:val="0"/>
          <w:numId w:val="1"/>
        </w:numPr>
      </w:pP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e>
              </m:mr>
              <m:mr>
                <m:e>
                  <m:r>
                    <w:rPr>
                      <w:rFonts w:ascii="Cambria Math" w:hAnsi="Cambria Math"/>
                    </w:rPr>
                    <m:t>6</m:t>
                  </m:r>
                  <m:r>
                    <m:rPr>
                      <m:sty m:val="p"/>
                    </m:rPr>
                    <w:rPr>
                      <w:rFonts w:ascii="Cambria Math" w:hAnsi="Cambria Math"/>
                    </w:rPr>
                    <m:t>,</m:t>
                  </m:r>
                </m:e>
                <m:e>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e>
                <m:e>
                  <m:r>
                    <w:rPr>
                      <w:rFonts w:ascii="Cambria Math" w:hAnsi="Cambria Math"/>
                    </w:rPr>
                    <m:t>n</m:t>
                  </m:r>
                  <m:r>
                    <m:rPr>
                      <m:sty m:val="p"/>
                    </m:rPr>
                    <w:rPr>
                      <w:rFonts w:ascii="Cambria Math" w:hAnsi="Cambria Math"/>
                    </w:rPr>
                    <m:t>&gt;</m:t>
                  </m:r>
                  <m:r>
                    <w:rPr>
                      <w:rFonts w:ascii="Cambria Math" w:hAnsi="Cambria Math"/>
                    </w:rPr>
                    <m:t>2</m:t>
                  </m:r>
                  <m:r>
                    <m:rPr>
                      <m:sty m:val="p"/>
                    </m:rPr>
                    <w:rPr>
                      <w:rFonts w:ascii="Cambria Math" w:hAnsi="Cambria Math"/>
                    </w:rPr>
                    <m:t>,</m:t>
                  </m:r>
                </m:e>
              </m:mr>
            </m:m>
          </m:e>
        </m:d>
      </m:oMath>
    </w:p>
    <w:p w14:paraId="2EA78D1E" w14:textId="77777777" w:rsidR="00D75298" w:rsidRDefault="00000000">
      <w:pPr>
        <w:numPr>
          <w:ilvl w:val="0"/>
          <w:numId w:val="1"/>
        </w:numPr>
      </w:pPr>
      <w:r>
        <w:br/>
        <w:t xml:space="preserve">where </w:t>
      </w:r>
      <m:oMath>
        <m:sSub>
          <m:sSubPr>
            <m:ctrlPr>
              <w:rPr>
                <w:rFonts w:ascii="Cambria Math" w:hAnsi="Cambria Math"/>
              </w:rPr>
            </m:ctrlPr>
          </m:sSubPr>
          <m:e>
            <m:r>
              <w:rPr>
                <w:rFonts w:ascii="Cambria Math" w:hAnsi="Cambria Math"/>
              </w:rPr>
              <m:t>I</m:t>
            </m:r>
          </m:e>
          <m:sub>
            <m:r>
              <w:rPr>
                <w:rFonts w:ascii="Cambria Math" w:hAnsi="Cambria Math"/>
              </w:rPr>
              <m:t>n</m:t>
            </m:r>
          </m:sub>
        </m:sSub>
      </m:oMath>
      <w:r>
        <w:t xml:space="preserve"> was the previous interval length. If </w:t>
      </w:r>
      <m:oMath>
        <m:r>
          <w:rPr>
            <w:rFonts w:ascii="Cambria Math" w:hAnsi="Cambria Math"/>
          </w:rPr>
          <m:t>q</m:t>
        </m:r>
        <m:r>
          <m:rPr>
            <m:sty m:val="p"/>
          </m:rPr>
          <w:rPr>
            <w:rFonts w:ascii="Cambria Math" w:hAnsi="Cambria Math"/>
          </w:rPr>
          <m:t>&lt;</m:t>
        </m:r>
        <m:r>
          <w:rPr>
            <w:rFonts w:ascii="Cambria Math" w:hAnsi="Cambria Math"/>
          </w:rPr>
          <m:t>3</m:t>
        </m:r>
      </m:oMath>
      <w:r>
        <w:t xml:space="preserve"> , reset </w:t>
      </w:r>
      <m:oMath>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oMath>
      <w:r>
        <w:t xml:space="preserve"> (or a small fixed value). This heuristic-spaced model approximates the continuous decay model and has proven efficacy (SuperMemo, Anki) in practice. It explicitly accounts for item difficulty and spacing (hard cards get shorter increments, easy cards get exponentially longer ones)</w:t>
      </w:r>
      <w:hyperlink r:id="rId42" w:anchor=":~:text=Massed%20practice%20on%20a%20task%2C,or%20fail%20to%20learn%20and">
        <w:r>
          <w:rPr>
            <w:rStyle w:val="Hyperlink"/>
          </w:rPr>
          <w:t>[10]</w:t>
        </w:r>
      </w:hyperlink>
      <w:hyperlink r:id="rId43" w:anchor=":~:text=these%20empirical%20studies%20have%20motivated,recalled%29%20information">
        <w:r>
          <w:rPr>
            <w:rStyle w:val="Hyperlink"/>
          </w:rPr>
          <w:t>[11]</w:t>
        </w:r>
      </w:hyperlink>
      <w:r>
        <w:t>.</w:t>
      </w:r>
    </w:p>
    <w:p w14:paraId="6CDD7F74" w14:textId="77777777" w:rsidR="00D75298" w:rsidRDefault="00000000">
      <w:pPr>
        <w:numPr>
          <w:ilvl w:val="0"/>
          <w:numId w:val="4"/>
        </w:numPr>
      </w:pPr>
      <w:r>
        <w:rPr>
          <w:b/>
          <w:bCs/>
        </w:rPr>
        <w:t>Interleaving Strategy:</w:t>
      </w:r>
      <w:r>
        <w:t xml:space="preserve"> Enhance topic mixing. Rather than reviewing topics in blocks, schedule items from multiple subjects each day. For instance, if there are </w:t>
      </w:r>
      <m:oMath>
        <m:r>
          <w:rPr>
            <w:rFonts w:ascii="Cambria Math" w:hAnsi="Cambria Math"/>
          </w:rPr>
          <m:t>M</m:t>
        </m:r>
      </m:oMath>
      <w:r>
        <w:t xml:space="preserve"> topics, one could cycle through them in a round-robin: on each day </w:t>
      </w:r>
      <m:oMath>
        <m:r>
          <w:rPr>
            <w:rFonts w:ascii="Cambria Math" w:hAnsi="Cambria Math"/>
          </w:rPr>
          <m:t>d</m:t>
        </m:r>
      </m:oMath>
      <w:r>
        <w:t xml:space="preserve"> , include topic </w:t>
      </w:r>
      <m:oMath>
        <m:d>
          <m:dPr>
            <m:ctrlPr>
              <w:rPr>
                <w:rFonts w:ascii="Cambria Math" w:hAnsi="Cambria Math"/>
              </w:rPr>
            </m:ctrlPr>
          </m:dPr>
          <m:e>
            <m:r>
              <w:rPr>
                <w:rFonts w:ascii="Cambria Math" w:hAnsi="Cambria Math"/>
              </w:rPr>
              <m:t>d </m:t>
            </m:r>
            <m:r>
              <m:rPr>
                <m:sty m:val="p"/>
              </m:rPr>
              <w:rPr>
                <w:rFonts w:ascii="Cambria Math" w:hAnsi="Cambria Math"/>
              </w:rPr>
              <m:t>mod</m:t>
            </m:r>
            <m:r>
              <w:rPr>
                <w:rFonts w:ascii="Cambria Math" w:hAnsi="Cambria Math"/>
              </w:rPr>
              <m:t> M</m:t>
            </m:r>
          </m:e>
        </m:d>
        <m:r>
          <m:rPr>
            <m:sty m:val="p"/>
          </m:rPr>
          <w:rPr>
            <w:rFonts w:ascii="Cambria Math" w:hAnsi="Cambria Math"/>
          </w:rPr>
          <m:t>+</m:t>
        </m:r>
        <m:r>
          <w:rPr>
            <w:rFonts w:ascii="Cambria Math" w:hAnsi="Cambria Math"/>
          </w:rPr>
          <m:t>1</m:t>
        </m:r>
      </m:oMath>
      <w:r>
        <w:t xml:space="preserve"> , then the next, etc., ensuring no topic is over-concentrated. Mathematically, assign each due item </w:t>
      </w:r>
      <m:oMath>
        <m:r>
          <w:rPr>
            <w:rFonts w:ascii="Cambria Math" w:hAnsi="Cambria Math"/>
          </w:rPr>
          <m:t>j</m:t>
        </m:r>
      </m:oMath>
      <w:r>
        <w:t xml:space="preserve"> at day </w:t>
      </w:r>
      <m:oMath>
        <m:r>
          <w:rPr>
            <w:rFonts w:ascii="Cambria Math" w:hAnsi="Cambria Math"/>
          </w:rPr>
          <m:t>d</m:t>
        </m:r>
      </m:oMath>
      <w:r>
        <w:t xml:space="preserve"> a pseudo-priority </w:t>
      </w:r>
      <m:oMath>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d</m:t>
            </m:r>
          </m:e>
        </m:d>
        <m:r>
          <w:rPr>
            <w:rFonts w:ascii="Cambria Math" w:hAnsi="Cambria Math"/>
          </w:rPr>
          <m:t> </m:t>
        </m:r>
        <m:r>
          <m:rPr>
            <m:sty m:val="p"/>
          </m:rPr>
          <w:rPr>
            <w:rFonts w:ascii="Cambria Math" w:hAnsi="Cambria Math"/>
          </w:rPr>
          <m:t>mod</m:t>
        </m:r>
        <m:r>
          <w:rPr>
            <w:rFonts w:ascii="Cambria Math" w:hAnsi="Cambria Math"/>
          </w:rPr>
          <m:t> 1</m:t>
        </m:r>
      </m:oMath>
      <w:r>
        <w:t xml:space="preserve"> (random start offset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 then sort all due items by </w:t>
      </w:r>
      <m:oMath>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d</m:t>
            </m:r>
          </m:sub>
        </m:sSub>
      </m:oMath>
      <w:r>
        <w:t xml:space="preserve"> . This random interleaving ensures diverse practice</w:t>
      </w:r>
      <w:hyperlink r:id="rId44" w:anchor=":~:text=to%20learn%20formulas%20for%20calculating,a%20sample%20of%206%20paintings">
        <w:r>
          <w:rPr>
            <w:rStyle w:val="Hyperlink"/>
          </w:rPr>
          <w:t>[5]</w:t>
        </w:r>
      </w:hyperlink>
      <w:r>
        <w:t xml:space="preserve">. Alternatively, partition new and review items such that each day’s list contains a mix: e.g. if daily capacity is </w:t>
      </w:r>
      <m:oMath>
        <m:r>
          <w:rPr>
            <w:rFonts w:ascii="Cambria Math" w:hAnsi="Cambria Math"/>
          </w:rPr>
          <m:t>C</m:t>
        </m:r>
      </m:oMath>
      <w:r>
        <w:t xml:space="preserve"> , allocate $C/|{\rm topics}|$ from each topic. Interleaving raises cognitive effort (desirable difficulty) and guards against context-dependent learning</w:t>
      </w:r>
      <w:hyperlink r:id="rId45" w:anchor=":~:text=to%20learn%20formulas%20for%20calculating,a%20sample%20of%206%20paintings">
        <w:r>
          <w:rPr>
            <w:rStyle w:val="Hyperlink"/>
          </w:rPr>
          <w:t>[5]</w:t>
        </w:r>
      </w:hyperlink>
      <w:r>
        <w:t>.</w:t>
      </w:r>
    </w:p>
    <w:p w14:paraId="086F70E4" w14:textId="77777777" w:rsidR="00D75298" w:rsidRDefault="00000000">
      <w:pPr>
        <w:numPr>
          <w:ilvl w:val="0"/>
          <w:numId w:val="4"/>
        </w:numPr>
      </w:pPr>
      <w:r>
        <w:rPr>
          <w:b/>
          <w:bCs/>
        </w:rPr>
        <w:t>Cognitive-Load-Based Daily Cap:</w:t>
      </w:r>
      <w:r>
        <w:t xml:space="preserve"> Let </w:t>
      </w:r>
      <m:oMath>
        <m:r>
          <w:rPr>
            <w:rFonts w:ascii="Cambria Math" w:hAnsi="Cambria Math"/>
          </w:rPr>
          <m:t>C</m:t>
        </m:r>
      </m:oMath>
      <w:r>
        <w:t xml:space="preserve"> be the maximum reviews per day to avoid overload. One can formalize it as:</w:t>
      </w:r>
      <w:r>
        <w:br/>
      </w:r>
    </w:p>
    <w:p w14:paraId="364A9619" w14:textId="77777777" w:rsidR="00D75298" w:rsidRDefault="00000000">
      <w:pPr>
        <w:pStyle w:val="Compact"/>
        <w:numPr>
          <w:ilvl w:val="0"/>
          <w:numId w:val="1"/>
        </w:numPr>
      </w:pPr>
      <m:oMath>
        <m:r>
          <w:rPr>
            <w:rFonts w:ascii="Cambria Math" w:hAnsi="Cambria Math"/>
          </w:rPr>
          <m:t>C</m:t>
        </m:r>
        <m:r>
          <m:rPr>
            <m:sty m:val="p"/>
          </m:rPr>
          <w:rPr>
            <w:rFonts w:ascii="Cambria Math" w:hAnsi="Cambria Math"/>
          </w:rPr>
          <m:t>≥</m:t>
        </m:r>
        <m:r>
          <m:rPr>
            <m:nor/>
          </m:rPr>
          <m:t>new_items</m:t>
        </m:r>
        <m:r>
          <m:rPr>
            <m:sty m:val="p"/>
          </m:rPr>
          <w:rPr>
            <w:rFonts w:ascii="Cambria Math" w:hAnsi="Cambria Math"/>
          </w:rPr>
          <m:t>+</m:t>
        </m:r>
        <m:r>
          <m:rPr>
            <m:nor/>
          </m:rPr>
          <m:t>reviews_due</m:t>
        </m:r>
        <m:r>
          <m:rPr>
            <m:sty m:val="p"/>
          </m:rPr>
          <w:rPr>
            <w:rFonts w:ascii="Cambria Math" w:hAnsi="Cambria Math"/>
          </w:rPr>
          <m:t>,</m:t>
        </m:r>
      </m:oMath>
    </w:p>
    <w:p w14:paraId="666D0A8E" w14:textId="77777777" w:rsidR="00D75298" w:rsidRDefault="00000000">
      <w:pPr>
        <w:numPr>
          <w:ilvl w:val="0"/>
          <w:numId w:val="1"/>
        </w:numPr>
      </w:pPr>
      <w:r>
        <w:br/>
        <w:t xml:space="preserve">and perhaps fix </w:t>
      </w:r>
      <m:oMath>
        <m:r>
          <m:rPr>
            <m:nor/>
          </m:rPr>
          <m:t>new_items</m:t>
        </m:r>
        <m:r>
          <m:rPr>
            <m:sty m:val="p"/>
          </m:rPr>
          <w:rPr>
            <w:rFonts w:ascii="Cambria Math" w:hAnsi="Cambria Math"/>
          </w:rPr>
          <m:t>=</m:t>
        </m:r>
        <m:r>
          <w:rPr>
            <w:rFonts w:ascii="Cambria Math" w:hAnsi="Cambria Math"/>
          </w:rPr>
          <m:t>pC</m:t>
        </m:r>
      </m:oMath>
      <w:r>
        <w:t xml:space="preserve"> for some fraction </w:t>
      </w:r>
      <m:oMath>
        <m:r>
          <w:rPr>
            <w:rFonts w:ascii="Cambria Math" w:hAnsi="Cambria Math"/>
          </w:rPr>
          <m:t>p</m:t>
        </m:r>
      </m:oMath>
      <w:r>
        <w:t xml:space="preserve"> (e.g. 50% of </w:t>
      </w:r>
      <m:oMath>
        <m:r>
          <w:rPr>
            <w:rFonts w:ascii="Cambria Math" w:hAnsi="Cambria Math"/>
          </w:rPr>
          <m:t>C</m:t>
        </m:r>
      </m:oMath>
      <w:r>
        <w:t xml:space="preserve"> for new material, </w:t>
      </w:r>
      <w:r>
        <w:lastRenderedPageBreak/>
        <w:t xml:space="preserve">to leave room for reviews). For example, if </w:t>
      </w:r>
      <m:oMath>
        <m:r>
          <w:rPr>
            <w:rFonts w:ascii="Cambria Math" w:hAnsi="Cambria Math"/>
          </w:rPr>
          <m:t>C</m:t>
        </m:r>
        <m:r>
          <m:rPr>
            <m:sty m:val="p"/>
          </m:rPr>
          <w:rPr>
            <w:rFonts w:ascii="Cambria Math" w:hAnsi="Cambria Math"/>
          </w:rPr>
          <m:t>=</m:t>
        </m:r>
        <m:r>
          <w:rPr>
            <w:rFonts w:ascii="Cambria Math" w:hAnsi="Cambria Math"/>
          </w:rPr>
          <m:t>40</m:t>
        </m:r>
      </m:oMath>
      <w:r>
        <w:t xml:space="preserve"> and </w:t>
      </w:r>
      <m:oMath>
        <m:r>
          <w:rPr>
            <w:rFonts w:ascii="Cambria Math" w:hAnsi="Cambria Math"/>
          </w:rPr>
          <m:t>p</m:t>
        </m:r>
        <m:r>
          <m:rPr>
            <m:sty m:val="p"/>
          </m:rPr>
          <w:rPr>
            <w:rFonts w:ascii="Cambria Math" w:hAnsi="Cambria Math"/>
          </w:rPr>
          <m:t>=</m:t>
        </m:r>
        <m:r>
          <w:rPr>
            <w:rFonts w:ascii="Cambria Math" w:hAnsi="Cambria Math"/>
          </w:rPr>
          <m:t>0.5</m:t>
        </m:r>
      </m:oMath>
      <w:r>
        <w:t xml:space="preserve"> , then 20 new items and 20 review items per day. This helps limit intrinsic load. One could also adaptively lower </w:t>
      </w:r>
      <m:oMath>
        <m:r>
          <w:rPr>
            <w:rFonts w:ascii="Cambria Math" w:hAnsi="Cambria Math"/>
          </w:rPr>
          <m:t>C</m:t>
        </m:r>
      </m:oMath>
      <w:r>
        <w:t xml:space="preserve"> on days with heavier difficulty (more hard items due), to ensure the learner isn’t swamped. In sum, the schedule should satisfy</w:t>
      </w:r>
      <w:r>
        <w:br/>
      </w:r>
    </w:p>
    <w:p w14:paraId="003AE2C0" w14:textId="77777777" w:rsidR="00D75298" w:rsidRDefault="00000000">
      <w:pPr>
        <w:pStyle w:val="Compact"/>
        <w:numPr>
          <w:ilvl w:val="0"/>
          <w:numId w:val="1"/>
        </w:numPr>
      </w:p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cr m:val="double-struck"/>
                    <m:sty m:val="p"/>
                  </m:rPr>
                  <w:rPr>
                    <w:rFonts w:ascii="Cambria Math" w:hAnsi="Cambria Math"/>
                  </w:rPr>
                  <m:t>I</m:t>
                </m:r>
              </m:e>
              <m:sub>
                <m:r>
                  <m:rPr>
                    <m:sty m:val="p"/>
                  </m:rPr>
                  <w:rPr>
                    <w:rFonts w:ascii="Cambria Math" w:hAnsi="Cambria Math"/>
                  </w:rPr>
                  <m:t>{</m:t>
                </m:r>
                <m:sSub>
                  <m:sSubPr>
                    <m:ctrlPr>
                      <w:rPr>
                        <w:rFonts w:ascii="Cambria Math" w:hAnsi="Cambria Math"/>
                      </w:rPr>
                    </m:ctrlPr>
                  </m:sSubPr>
                  <m:e>
                    <m:r>
                      <m:rPr>
                        <m:nor/>
                      </m:rPr>
                      <m:t>review_scheduled</m:t>
                    </m:r>
                  </m:e>
                  <m:sub>
                    <m:r>
                      <w:rPr>
                        <w:rFonts w:ascii="Cambria Math" w:hAnsi="Cambria Math"/>
                      </w:rPr>
                      <m:t>i</m:t>
                    </m:r>
                  </m:sub>
                </m:sSub>
                <m:d>
                  <m:dPr>
                    <m:ctrlPr>
                      <w:rPr>
                        <w:rFonts w:ascii="Cambria Math" w:hAnsi="Cambria Math"/>
                      </w:rPr>
                    </m:ctrlPr>
                  </m:dPr>
                  <m:e>
                    <m:r>
                      <w:rPr>
                        <w:rFonts w:ascii="Cambria Math" w:hAnsi="Cambria Math"/>
                      </w:rPr>
                      <m:t>d</m:t>
                    </m:r>
                  </m:e>
                </m:d>
                <m:r>
                  <m:rPr>
                    <m:sty m:val="p"/>
                  </m:rPr>
                  <w:rPr>
                    <w:rFonts w:ascii="Cambria Math" w:hAnsi="Cambria Math"/>
                  </w:rPr>
                  <m:t>}</m:t>
                </m:r>
              </m:sub>
            </m:sSub>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p>
    <w:p w14:paraId="6E198835" w14:textId="77777777" w:rsidR="00D75298" w:rsidRDefault="00000000">
      <w:pPr>
        <w:numPr>
          <w:ilvl w:val="0"/>
          <w:numId w:val="1"/>
        </w:numPr>
      </w:pPr>
      <w:r>
        <w:br/>
        <w:t xml:space="preserve">where </w:t>
      </w:r>
      <m:oMath>
        <m:r>
          <m:rPr>
            <m:scr m:val="double-struck"/>
            <m:sty m:val="p"/>
          </m:rPr>
          <w:rPr>
            <w:rFonts w:ascii="Cambria Math" w:hAnsi="Cambria Math"/>
          </w:rPr>
          <m:t>I</m:t>
        </m:r>
      </m:oMath>
      <w:r>
        <w:t xml:space="preserve"> is an indicator for scheduling item </w:t>
      </w:r>
      <m:oMath>
        <m:r>
          <w:rPr>
            <w:rFonts w:ascii="Cambria Math" w:hAnsi="Cambria Math"/>
          </w:rPr>
          <m:t>i</m:t>
        </m:r>
      </m:oMath>
      <w:r>
        <w:t xml:space="preserve"> on day </w:t>
      </w:r>
      <m:oMath>
        <m:r>
          <w:rPr>
            <w:rFonts w:ascii="Cambria Math" w:hAnsi="Cambria Math"/>
          </w:rPr>
          <m:t>d</m:t>
        </m:r>
      </m:oMath>
      <w:r>
        <w:t xml:space="preserve"> . This enforces a hard daily cap in a formulaic way, resonating with Sweller’s limit on working memory</w:t>
      </w:r>
      <w:hyperlink r:id="rId46" w:anchor=":~:text=domain,Many%20educational">
        <w:r>
          <w:rPr>
            <w:rStyle w:val="Hyperlink"/>
          </w:rPr>
          <w:t>[3]</w:t>
        </w:r>
      </w:hyperlink>
      <w:r>
        <w:t>.</w:t>
      </w:r>
    </w:p>
    <w:p w14:paraId="648B5CC1" w14:textId="77777777" w:rsidR="00D75298" w:rsidRDefault="00000000">
      <w:pPr>
        <w:numPr>
          <w:ilvl w:val="0"/>
          <w:numId w:val="4"/>
        </w:numPr>
      </w:pPr>
      <w:r>
        <w:rPr>
          <w:b/>
          <w:bCs/>
        </w:rPr>
        <w:t>Adaptive Recall Intensity:</w:t>
      </w:r>
      <w:r>
        <w:t xml:space="preserve"> Building on the optimal-control insight</w:t>
      </w:r>
      <w:hyperlink r:id="rId47" w:anchor=":~:text=For%20two%20well,effectively%20than%20learners%20who%20follow">
        <w:r>
          <w:rPr>
            <w:rStyle w:val="Hyperlink"/>
          </w:rPr>
          <w:t>[2]</w:t>
        </w:r>
      </w:hyperlink>
      <w:r>
        <w:t xml:space="preserve">, one can tie the rate of reviewing an item to its current recall probability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If recall is high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large), delays can be longer; if recall is low, reviews should be more frequent. Concretely, one can set the </w:t>
      </w:r>
      <w:r>
        <w:rPr>
          <w:i/>
          <w:iCs/>
        </w:rPr>
        <w:t>review intensity</w:t>
      </w:r>
      <w:r>
        <w:t xml:space="preserve"> (frequency) </w:t>
      </w:r>
      <m:oMath>
        <m:sSub>
          <m:sSubPr>
            <m:ctrlPr>
              <w:rPr>
                <w:rFonts w:ascii="Cambria Math" w:hAnsi="Cambria Math"/>
              </w:rPr>
            </m:ctrlPr>
          </m:sSubPr>
          <m:e>
            <m:r>
              <w:rPr>
                <w:rFonts w:ascii="Cambria Math" w:hAnsi="Cambria Math"/>
              </w:rPr>
              <m:t>ν</m:t>
            </m:r>
          </m:e>
          <m:sub>
            <m:r>
              <w:rPr>
                <w:rFonts w:ascii="Cambria Math" w:hAnsi="Cambria Math"/>
              </w:rPr>
              <m:t>i</m:t>
            </m:r>
          </m:sub>
        </m:sSub>
      </m:oMath>
      <w:r>
        <w:t xml:space="preserve"> inversely proportional to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In practice, this is achieved by the above scheduling rule: as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increases (hard items), </w:t>
      </w:r>
      <m:oMath>
        <m:sSub>
          <m:sSubPr>
            <m:ctrlPr>
              <w:rPr>
                <w:rFonts w:ascii="Cambria Math" w:hAnsi="Cambria Math"/>
              </w:rPr>
            </m:ctrlPr>
          </m:sSubPr>
          <m:e>
            <m:r>
              <w:rPr>
                <w:rFonts w:ascii="Cambria Math" w:hAnsi="Cambria Math"/>
              </w:rPr>
              <m:t>t</m:t>
            </m:r>
          </m:e>
          <m:sub>
            <m:r>
              <m:rPr>
                <m:nor/>
              </m:rPr>
              <m:t>next</m:t>
            </m:r>
          </m:sub>
        </m:sSub>
      </m:oMath>
      <w:r>
        <w:t xml:space="preserve"> shrinks. These formulas ensure the system naturally devotes more time to items on the brink of forgetting (the “slow forgetting” model in MEMORIZE)</w:t>
      </w:r>
      <w:hyperlink r:id="rId48" w:anchor=":~:text=For%20two%20well,effectively%20than%20learners%20who%20follow">
        <w:r>
          <w:rPr>
            <w:rStyle w:val="Hyperlink"/>
          </w:rPr>
          <w:t>[2]</w:t>
        </w:r>
      </w:hyperlink>
      <w:hyperlink r:id="rId49" w:anchor=":~:text=with%20the%20Leitner%20system%20,review%20by%20greedily%20selecting%20the">
        <w:r>
          <w:rPr>
            <w:rStyle w:val="Hyperlink"/>
          </w:rPr>
          <w:t>[1]</w:t>
        </w:r>
      </w:hyperlink>
      <w:r>
        <w:t>.</w:t>
      </w:r>
    </w:p>
    <w:p w14:paraId="517237F2" w14:textId="77777777" w:rsidR="00D75298" w:rsidRDefault="00000000">
      <w:pPr>
        <w:numPr>
          <w:ilvl w:val="0"/>
          <w:numId w:val="4"/>
        </w:numPr>
      </w:pPr>
      <w:r>
        <w:rPr>
          <w:b/>
          <w:bCs/>
        </w:rPr>
        <w:t>Final Review Scheduling (≤60 days):</w:t>
      </w:r>
      <w:r>
        <w:t xml:space="preserve"> If the exam is fewer than 60 days away, compress intervals. One simple model is linear scaling: if </w:t>
      </w:r>
      <m:oMath>
        <m:r>
          <w:rPr>
            <w:rFonts w:ascii="Cambria Math" w:hAnsi="Cambria Math"/>
          </w:rPr>
          <m:t>D</m:t>
        </m:r>
      </m:oMath>
      <w:r>
        <w:t xml:space="preserve"> days remain (with </w:t>
      </w:r>
      <m:oMath>
        <m:r>
          <w:rPr>
            <w:rFonts w:ascii="Cambria Math" w:hAnsi="Cambria Math"/>
          </w:rPr>
          <m:t>D</m:t>
        </m:r>
        <m:r>
          <m:rPr>
            <m:sty m:val="p"/>
          </m:rPr>
          <w:rPr>
            <w:rFonts w:ascii="Cambria Math" w:hAnsi="Cambria Math"/>
          </w:rPr>
          <m:t>&lt;</m:t>
        </m:r>
        <m:r>
          <w:rPr>
            <w:rFonts w:ascii="Cambria Math" w:hAnsi="Cambria Math"/>
          </w:rPr>
          <m:t>60</m:t>
        </m:r>
      </m:oMath>
      <w:r>
        <w:t xml:space="preserve"> ), replace each planned interval </w:t>
      </w:r>
      <m:oMath>
        <m:r>
          <w:rPr>
            <w:rFonts w:ascii="Cambria Math" w:hAnsi="Cambria Math"/>
          </w:rPr>
          <m:t>Δt</m:t>
        </m:r>
      </m:oMath>
      <w:r>
        <w:t xml:space="preserve"> by </w:t>
      </w:r>
      <m:oMath>
        <m:r>
          <w:rPr>
            <w:rFonts w:ascii="Cambria Math" w:hAnsi="Cambria Math"/>
          </w:rPr>
          <m:t>Δt</m:t>
        </m:r>
        <m:r>
          <m:rPr>
            <m:sty m:val="p"/>
          </m:rPr>
          <w:rPr>
            <w:rFonts w:ascii="Cambria Math" w:hAnsi="Cambria Math"/>
          </w:rPr>
          <m:t>'=</m:t>
        </m:r>
        <m:r>
          <w:rPr>
            <w:rFonts w:ascii="Cambria Math" w:hAnsi="Cambria Math"/>
          </w:rPr>
          <m:t>Δt</m:t>
        </m:r>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60</m:t>
            </m:r>
          </m:e>
        </m:d>
      </m:oMath>
      <w:r>
        <w:t xml:space="preserve"> . Equivalently, increase review frequency by the factor </w:t>
      </w:r>
      <m:oMath>
        <m:r>
          <w:rPr>
            <w:rFonts w:ascii="Cambria Math" w:hAnsi="Cambria Math"/>
          </w:rPr>
          <m:t>60</m:t>
        </m:r>
        <m:r>
          <m:rPr>
            <m:sty m:val="p"/>
          </m:rPr>
          <w:rPr>
            <w:rFonts w:ascii="Cambria Math" w:hAnsi="Cambria Math"/>
          </w:rPr>
          <m:t>/</m:t>
        </m:r>
        <m:r>
          <w:rPr>
            <w:rFonts w:ascii="Cambria Math" w:hAnsi="Cambria Math"/>
          </w:rPr>
          <m:t>D</m:t>
        </m:r>
      </m:oMath>
      <w:r>
        <w:t xml:space="preserve"> . This ensures roughly the same number of total reviews, but packed into </w:t>
      </w:r>
      <m:oMath>
        <m:r>
          <w:rPr>
            <w:rFonts w:ascii="Cambria Math" w:hAnsi="Cambria Math"/>
          </w:rPr>
          <m:t>D</m:t>
        </m:r>
      </m:oMath>
      <w:r>
        <w:t xml:space="preserve"> days. Another approach: lower the threshold </w:t>
      </w:r>
      <m:oMath>
        <m:sSub>
          <m:sSubPr>
            <m:ctrlPr>
              <w:rPr>
                <w:rFonts w:ascii="Cambria Math" w:hAnsi="Cambria Math"/>
              </w:rPr>
            </m:ctrlPr>
          </m:sSubPr>
          <m:e>
            <m:r>
              <w:rPr>
                <w:rFonts w:ascii="Cambria Math" w:hAnsi="Cambria Math"/>
              </w:rPr>
              <m:t>R</m:t>
            </m:r>
          </m:e>
          <m:sub>
            <m:r>
              <m:rPr>
                <m:nor/>
              </m:rPr>
              <m:t>th</m:t>
            </m:r>
          </m:sub>
        </m:sSub>
      </m:oMath>
      <w:r>
        <w:t xml:space="preserve"> to trigger reviews earlier (since there’s less time to recover forgotten items). For example, instead of waiting until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0.9</m:t>
        </m:r>
      </m:oMath>
      <w:r>
        <w:t xml:space="preserve"> , one might review at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0.6</m:t>
        </m:r>
      </m:oMath>
      <w:r>
        <w:t xml:space="preserve"> if time is short. Either way, the schedule becomes more aggressive. In the last few days before the exam, one might override spacing entirely and repeatedly cycle through material that is still weak (akin to a final-pass review), while still interleaving topics to avoid context-specific memorization</w:t>
      </w:r>
      <w:hyperlink r:id="rId50" w:anchor=":~:text=fre%02quently%20results%20in%20rapid%20gains,versus%20Blocking%20Instruction%20on%20Separate">
        <w:r>
          <w:rPr>
            <w:rStyle w:val="Hyperlink"/>
          </w:rPr>
          <w:t>[9]</w:t>
        </w:r>
      </w:hyperlink>
      <w:r>
        <w:t>.</w:t>
      </w:r>
    </w:p>
    <w:p w14:paraId="25D924F8" w14:textId="77777777" w:rsidR="00D75298" w:rsidRDefault="00000000">
      <w:pPr>
        <w:pStyle w:val="FirstParagraph"/>
      </w:pPr>
      <w:r>
        <w:t xml:space="preserve">By implementing these mathematically grounded rules, Neurema’s strategy would be better aligned with empirical findings. The schedule explicitly honors the </w:t>
      </w:r>
      <w:r>
        <w:rPr>
          <w:b/>
          <w:bCs/>
        </w:rPr>
        <w:t>forgetting curve</w:t>
      </w:r>
      <w:hyperlink r:id="rId51" w:anchor=":~:text=The%20forgetting%20curve%20hypothesizes%20the,consciously%20review%20the%20learned%20material">
        <w:r>
          <w:rPr>
            <w:rStyle w:val="Hyperlink"/>
          </w:rPr>
          <w:t>[4]</w:t>
        </w:r>
      </w:hyperlink>
      <w:r>
        <w:t xml:space="preserve"> (spacing reviews optimally), induces </w:t>
      </w:r>
      <w:r>
        <w:rPr>
          <w:b/>
          <w:bCs/>
        </w:rPr>
        <w:t>desirable difficulties</w:t>
      </w:r>
      <w:r>
        <w:t xml:space="preserve"> (effortful recall, interleaving)</w:t>
      </w:r>
      <w:hyperlink r:id="rId52" w:anchor=":~:text=to%20learn%20formulas%20for%20calculating,a%20sample%20of%206%20paintings">
        <w:r>
          <w:rPr>
            <w:rStyle w:val="Hyperlink"/>
          </w:rPr>
          <w:t>[5]</w:t>
        </w:r>
      </w:hyperlink>
      <w:hyperlink r:id="rId53" w:anchor=":~:text=Massed%20practice%20on%20a%20task%2C,or%20fail%20to%20learn%20and">
        <w:r>
          <w:rPr>
            <w:rStyle w:val="Hyperlink"/>
          </w:rPr>
          <w:t>[10]</w:t>
        </w:r>
      </w:hyperlink>
      <w:r>
        <w:t xml:space="preserve">, and respects </w:t>
      </w:r>
      <w:r>
        <w:rPr>
          <w:b/>
          <w:bCs/>
        </w:rPr>
        <w:t>cognitive load</w:t>
      </w:r>
      <w:r>
        <w:t xml:space="preserve"> constraints</w:t>
      </w:r>
      <w:hyperlink r:id="rId54" w:anchor=":~:text=domain,Many%20educational">
        <w:r>
          <w:rPr>
            <w:rStyle w:val="Hyperlink"/>
          </w:rPr>
          <w:t>[3]</w:t>
        </w:r>
      </w:hyperlink>
      <w:r>
        <w:t xml:space="preserve">. For example, the condition </w:t>
      </w:r>
      <m:oMath>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next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th</m:t>
            </m:r>
          </m:sub>
        </m:sSub>
      </m:oMath>
      <w:r>
        <w:t xml:space="preserve"> ensures reviews occur just as items are about to drop below an acceptable retention level</w:t>
      </w:r>
      <w:hyperlink r:id="rId55" w:anchor=":~:text=with%20the%20Leitner%20system%20,review%20by%20greedily%20selecting%20the">
        <w:r>
          <w:rPr>
            <w:rStyle w:val="Hyperlink"/>
          </w:rPr>
          <w:t>[1]</w:t>
        </w:r>
      </w:hyperlink>
      <w:r>
        <w:t xml:space="preserve">, and the adaptive update of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tailors intervals to individual performance (as in SuperMemo</w:t>
      </w:r>
      <w:hyperlink r:id="rId56" w:anchor=":~:text=Massed%20practice%20on%20a%20task%2C,or%20fail%20to%20learn%20and">
        <w:r>
          <w:rPr>
            <w:rStyle w:val="Hyperlink"/>
          </w:rPr>
          <w:t>[10]</w:t>
        </w:r>
      </w:hyperlink>
      <w:r>
        <w:t>). These formulas make the algorithm’s behavior explicit and tunable, in contrast to ad hoc heuristics.</w:t>
      </w:r>
    </w:p>
    <w:p w14:paraId="166C00B5" w14:textId="77777777" w:rsidR="00D75298" w:rsidRDefault="00000000">
      <w:pPr>
        <w:pStyle w:val="Heading1"/>
      </w:pPr>
      <w:bookmarkStart w:id="7" w:name="adapting-to-shorter-time-frames"/>
      <w:bookmarkEnd w:id="6"/>
      <w:r>
        <w:lastRenderedPageBreak/>
        <w:t>Adapting to Shorter Time Frames</w:t>
      </w:r>
    </w:p>
    <w:p w14:paraId="4863E596" w14:textId="77777777" w:rsidR="00D75298" w:rsidRDefault="00000000">
      <w:pPr>
        <w:pStyle w:val="FirstParagraph"/>
      </w:pPr>
      <w:r>
        <w:t>When preparation time is less than the ideal 60 days (say an exam in 30 days), the strategy should shift. The mathematical adjustments above cover interval compression, but we also recommend:</w:t>
      </w:r>
    </w:p>
    <w:p w14:paraId="3B6B906C" w14:textId="77777777" w:rsidR="00D75298" w:rsidRDefault="00000000">
      <w:pPr>
        <w:numPr>
          <w:ilvl w:val="0"/>
          <w:numId w:val="5"/>
        </w:numPr>
      </w:pPr>
      <w:r>
        <w:rPr>
          <w:b/>
          <w:bCs/>
        </w:rPr>
        <w:t>Front-load difficult topics:</w:t>
      </w:r>
      <w:r>
        <w:t xml:space="preserve"> Increase weight on high-difficulty items early. For instance, rank topics by initial difficulty estimates and allocate a larger share of early reviews to them. A simple rule: if a topic has initial ease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oMath>
      <w:r>
        <w:t xml:space="preserve"> (hard), schedule it twice as often as easier topics during the early phase.</w:t>
      </w:r>
    </w:p>
    <w:p w14:paraId="28904C6A" w14:textId="77777777" w:rsidR="00D75298" w:rsidRDefault="00000000">
      <w:pPr>
        <w:numPr>
          <w:ilvl w:val="0"/>
          <w:numId w:val="5"/>
        </w:numPr>
      </w:pPr>
      <w:r>
        <w:rPr>
          <w:b/>
          <w:bCs/>
        </w:rPr>
        <w:t>Limit new material sharply:</w:t>
      </w:r>
      <w:r>
        <w:t xml:space="preserve"> In very short timelines, focus on core material. Mathematically, one could reduce the fraction </w:t>
      </w:r>
      <m:oMath>
        <m:r>
          <w:rPr>
            <w:rFonts w:ascii="Cambria Math" w:hAnsi="Cambria Math"/>
          </w:rPr>
          <m:t>p</m:t>
        </m:r>
      </m:oMath>
      <w:r>
        <w:t xml:space="preserve"> of daily new items in the daily cap formula. E.g., set </w:t>
      </w:r>
      <m:oMath>
        <m:r>
          <w:rPr>
            <w:rFonts w:ascii="Cambria Math" w:hAnsi="Cambria Math"/>
          </w:rPr>
          <m:t>p</m:t>
        </m:r>
        <m:r>
          <m:rPr>
            <m:sty m:val="p"/>
          </m:rPr>
          <w:rPr>
            <w:rFonts w:ascii="Cambria Math" w:hAnsi="Cambria Math"/>
          </w:rPr>
          <m:t>=</m:t>
        </m:r>
        <m:r>
          <w:rPr>
            <w:rFonts w:ascii="Cambria Math" w:hAnsi="Cambria Math"/>
          </w:rPr>
          <m:t>0.3</m:t>
        </m:r>
      </m:oMath>
      <w:r>
        <w:t xml:space="preserve"> so only 30% of the daily cap is new content, the rest reinforcing existing cards. This sacrifices breadth for depth, which is reasonable when time is scarce.</w:t>
      </w:r>
    </w:p>
    <w:p w14:paraId="42D0356E" w14:textId="77777777" w:rsidR="00D75298" w:rsidRDefault="00000000">
      <w:pPr>
        <w:numPr>
          <w:ilvl w:val="0"/>
          <w:numId w:val="5"/>
        </w:numPr>
      </w:pPr>
      <w:r>
        <w:rPr>
          <w:b/>
          <w:bCs/>
        </w:rPr>
        <w:t>More interleaving and review cycles:</w:t>
      </w:r>
      <w:r>
        <w:t xml:space="preserve"> With fewer days, rely more on frequent rotation. For example, instead of one review cycle per week per topic, aim for two or more short cycles. One can model this by requiring that each item is revisited at least </w:t>
      </w:r>
      <m:oMath>
        <m:r>
          <w:rPr>
            <w:rFonts w:ascii="Cambria Math" w:hAnsi="Cambria Math"/>
          </w:rPr>
          <m:t>k</m:t>
        </m:r>
      </m:oMath>
      <w:r>
        <w:t xml:space="preserve"> times (for some </w:t>
      </w:r>
      <m:oMath>
        <m:r>
          <w:rPr>
            <w:rFonts w:ascii="Cambria Math" w:hAnsi="Cambria Math"/>
          </w:rPr>
          <m:t>k</m:t>
        </m:r>
        <m:r>
          <m:rPr>
            <m:sty m:val="p"/>
          </m:rPr>
          <w:rPr>
            <w:rFonts w:ascii="Cambria Math" w:hAnsi="Cambria Math"/>
          </w:rPr>
          <m:t>≥</m:t>
        </m:r>
        <m:r>
          <w:rPr>
            <w:rFonts w:ascii="Cambria Math" w:hAnsi="Cambria Math"/>
          </w:rPr>
          <m:t>3</m:t>
        </m:r>
      </m:oMath>
      <w:r>
        <w:t xml:space="preserve"> ) before the exam, solving for the maximum spacing that fits </w:t>
      </w:r>
      <m:oMath>
        <m:r>
          <w:rPr>
            <w:rFonts w:ascii="Cambria Math" w:hAnsi="Cambria Math"/>
          </w:rPr>
          <m:t>D</m:t>
        </m:r>
      </m:oMath>
      <w:r>
        <w:t xml:space="preserve"> days.</w:t>
      </w:r>
    </w:p>
    <w:p w14:paraId="489E9C45" w14:textId="77777777" w:rsidR="00D75298" w:rsidRDefault="00000000">
      <w:pPr>
        <w:numPr>
          <w:ilvl w:val="0"/>
          <w:numId w:val="5"/>
        </w:numPr>
      </w:pPr>
      <w:r>
        <w:rPr>
          <w:b/>
          <w:bCs/>
        </w:rPr>
        <w:t>Use cumulative recall targets:</w:t>
      </w:r>
      <w:r>
        <w:t xml:space="preserve"> For each item, set a target total spacing. Solve for intervals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that fit within </w:t>
      </w:r>
      <m:oMath>
        <m:r>
          <w:rPr>
            <w:rFonts w:ascii="Cambria Math" w:hAnsi="Cambria Math"/>
          </w:rPr>
          <m:t>D</m:t>
        </m:r>
      </m:oMath>
      <w:r>
        <w:t xml:space="preserve"> days, e.g.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w:rPr>
                <w:rFonts w:ascii="Cambria Math" w:hAnsi="Cambria Math"/>
              </w:rPr>
              <m:t>Δ</m:t>
            </m:r>
          </m:e>
        </m:nary>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r>
          <w:rPr>
            <w:rFonts w:ascii="Cambria Math" w:hAnsi="Cambria Math"/>
          </w:rPr>
          <m:t>D</m:t>
        </m:r>
      </m:oMath>
      <w:r>
        <w:t xml:space="preserve"> . A simple strategy: use a geometric schedule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 Δ</m:t>
        </m:r>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and solve </w:t>
      </w:r>
      <m:oMath>
        <m:sSup>
          <m:sSupPr>
            <m:ctrlPr>
              <w:rPr>
                <w:rFonts w:ascii="Cambria Math" w:hAnsi="Cambria Math"/>
              </w:rPr>
            </m:ctrlPr>
          </m:sSupPr>
          <m:e>
            <m:r>
              <w:rPr>
                <w:rFonts w:ascii="Cambria Math" w:hAnsi="Cambria Math"/>
              </w:rPr>
              <m:t>r</m:t>
            </m:r>
          </m:e>
          <m:sup>
            <m:r>
              <w:rPr>
                <w:rFonts w:ascii="Cambria Math" w:hAnsi="Cambria Math"/>
              </w:rPr>
              <m:t>k</m:t>
            </m:r>
          </m:sup>
        </m:sSup>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D</m:t>
        </m:r>
      </m:oMath>
      <w:r>
        <w:t xml:space="preserve"> . This ensures a steady spacing of repetitions given the shortened horizon.</w:t>
      </w:r>
    </w:p>
    <w:p w14:paraId="07DDDEB5" w14:textId="77777777" w:rsidR="00D75298" w:rsidRDefault="00000000">
      <w:pPr>
        <w:pStyle w:val="FirstParagraph"/>
      </w:pPr>
      <w:r>
        <w:t xml:space="preserve">These adaptations ensure the schedule remains evidence-based even under time pressure. In essence, one applies the same memory model formulas but with parameters tuned to a smaller </w:t>
      </w:r>
      <m:oMath>
        <m:r>
          <w:rPr>
            <w:rFonts w:ascii="Cambria Math" w:hAnsi="Cambria Math"/>
          </w:rPr>
          <m:t>D</m:t>
        </m:r>
      </m:oMath>
      <w:r>
        <w:t xml:space="preserve"> . For example, solving </w:t>
      </w:r>
      <m:oMath>
        <m:sSub>
          <m:sSubPr>
            <m:ctrlPr>
              <w:rPr>
                <w:rFonts w:ascii="Cambria Math" w:hAnsi="Cambria Math"/>
              </w:rPr>
            </m:ctrlPr>
          </m:sSubPr>
          <m:e>
            <m:r>
              <w:rPr>
                <w:rFonts w:ascii="Cambria Math" w:hAnsi="Cambria Math"/>
              </w:rPr>
              <m:t>t</m:t>
            </m:r>
          </m:e>
          <m:sub>
            <m:r>
              <m:rPr>
                <m:nor/>
              </m:rPr>
              <m:t>next</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last</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R</m:t>
                </m:r>
              </m:e>
              <m:sub>
                <m:r>
                  <m:rPr>
                    <m:nor/>
                  </m:rPr>
                  <m:t>th</m:t>
                </m:r>
              </m:sub>
            </m:sSub>
          </m:e>
        </m:d>
      </m:oMath>
      <w:r>
        <w:t xml:space="preserve"> with a lower </w:t>
      </w:r>
      <m:oMath>
        <m:sSub>
          <m:sSubPr>
            <m:ctrlPr>
              <w:rPr>
                <w:rFonts w:ascii="Cambria Math" w:hAnsi="Cambria Math"/>
              </w:rPr>
            </m:ctrlPr>
          </m:sSubPr>
          <m:e>
            <m:r>
              <w:rPr>
                <w:rFonts w:ascii="Cambria Math" w:hAnsi="Cambria Math"/>
              </w:rPr>
              <m:t>R</m:t>
            </m:r>
          </m:e>
          <m:sub>
            <m:r>
              <m:rPr>
                <m:nor/>
              </m:rPr>
              <m:t>th</m:t>
            </m:r>
          </m:sub>
        </m:sSub>
      </m:oMath>
      <w:r>
        <w:t xml:space="preserve"> or scaling all </w:t>
      </w:r>
      <m:oMath>
        <m:sSub>
          <m:sSubPr>
            <m:ctrlPr>
              <w:rPr>
                <w:rFonts w:ascii="Cambria Math" w:hAnsi="Cambria Math"/>
              </w:rPr>
            </m:ctrlPr>
          </m:sSubPr>
          <m:e>
            <m:r>
              <w:rPr>
                <w:rFonts w:ascii="Cambria Math" w:hAnsi="Cambria Math"/>
              </w:rPr>
              <m:t>λ</m:t>
            </m:r>
          </m:e>
          <m:sub>
            <m:r>
              <w:rPr>
                <w:rFonts w:ascii="Cambria Math" w:hAnsi="Cambria Math"/>
              </w:rPr>
              <m:t>i</m:t>
            </m:r>
          </m:sub>
        </m:sSub>
      </m:oMath>
      <w:r>
        <w:t xml:space="preserve"> by a factor reflects an aggressive recall regime. Collectively, these changes emphasize more frequent, prioritized reviews and intensive interleaving, consistent with effective cramming strategies that still try to exploit spacing and retrieval practice</w:t>
      </w:r>
      <w:hyperlink r:id="rId57" w:anchor=":~:text=fre%02quently%20results%20in%20rapid%20gains,versus%20Blocking%20Instruction%20on%20Separate">
        <w:r>
          <w:rPr>
            <w:rStyle w:val="Hyperlink"/>
          </w:rPr>
          <w:t>[9]</w:t>
        </w:r>
      </w:hyperlink>
      <w:hyperlink r:id="rId58" w:anchor=":~:text=Massed%20practice%20on%20a%20task%2C,or%20fail%20to%20learn%20and">
        <w:r>
          <w:rPr>
            <w:rStyle w:val="Hyperlink"/>
          </w:rPr>
          <w:t>[10]</w:t>
        </w:r>
      </w:hyperlink>
      <w:r>
        <w:t>.</w:t>
      </w:r>
    </w:p>
    <w:p w14:paraId="65B57ED9" w14:textId="77777777" w:rsidR="00D75298" w:rsidRDefault="00000000">
      <w:pPr>
        <w:pStyle w:val="Heading1"/>
      </w:pPr>
      <w:bookmarkStart w:id="8" w:name="conclusion"/>
      <w:bookmarkEnd w:id="7"/>
      <w:r>
        <w:t>Conclusion</w:t>
      </w:r>
    </w:p>
    <w:p w14:paraId="7ED03467" w14:textId="085B1598" w:rsidR="00D75298" w:rsidRDefault="00000000">
      <w:pPr>
        <w:pStyle w:val="FirstParagraph"/>
      </w:pPr>
      <w:r>
        <w:t>Neurema’s adaptive revision algorithm incorporates many sound ideas from spaced-repetition research: spacing reviews via an ease factor and capping workload. These features match well with cognitive principles</w:t>
      </w:r>
      <w:r w:rsidR="00213DD7">
        <w:t xml:space="preserve">  </w:t>
      </w:r>
      <w:r>
        <w:t>spaced retrieval beats massed cramming</w:t>
      </w:r>
      <w:hyperlink r:id="rId59" w:anchor=":~:text=The%20spacing%20effect%20is%20the,proposing%20dual%20process%20models%20wherein">
        <w:r>
          <w:rPr>
            <w:rStyle w:val="Hyperlink"/>
          </w:rPr>
          <w:t>[6]</w:t>
        </w:r>
      </w:hyperlink>
      <w:hyperlink r:id="rId60" w:anchor=":~:text=fre%02quently%20results%20in%20rapid%20gains,versus%20Blocking%20Instruction%20on%20Separate">
        <w:r>
          <w:rPr>
            <w:rStyle w:val="Hyperlink"/>
          </w:rPr>
          <w:t>[9]</w:t>
        </w:r>
      </w:hyperlink>
      <w:r>
        <w:t>, and item difficulty should guide scheduling (as in Leitner/SuperMemo</w:t>
      </w:r>
      <w:hyperlink r:id="rId61" w:anchor=":~:text=these%20empirical%20studies%20have%20motivated,recalled%29%20information">
        <w:r>
          <w:rPr>
            <w:rStyle w:val="Hyperlink"/>
          </w:rPr>
          <w:t>[11]</w:t>
        </w:r>
      </w:hyperlink>
      <w:r>
        <w:t xml:space="preserve">). However, the use of immediate “bubble” repeats risks undermining the spacing effect. Our proposed formulas provide a more principled scheduling: modeling memory decay explicitly and scheduling when recall probability </w:t>
      </w:r>
      <w:r>
        <w:lastRenderedPageBreak/>
        <w:t>drops to a threshold</w:t>
      </w:r>
      <w:hyperlink r:id="rId62" w:anchor=":~:text=with%20the%20Leitner%20system%20,review%20by%20greedily%20selecting%20the">
        <w:r>
          <w:rPr>
            <w:rStyle w:val="Hyperlink"/>
          </w:rPr>
          <w:t>[1]</w:t>
        </w:r>
      </w:hyperlink>
      <w:r>
        <w:t>. We also advocate systematic interleaving of topics</w:t>
      </w:r>
      <w:hyperlink r:id="rId63" w:anchor=":~:text=to%20learn%20formulas%20for%20calculating,a%20sample%20of%206%20paintings">
        <w:r>
          <w:rPr>
            <w:rStyle w:val="Hyperlink"/>
          </w:rPr>
          <w:t>[5]</w:t>
        </w:r>
      </w:hyperlink>
      <w:r>
        <w:t xml:space="preserve"> and strict adherence to load limits</w:t>
      </w:r>
      <w:hyperlink r:id="rId64" w:anchor=":~:text=domain,Many%20educational">
        <w:r>
          <w:rPr>
            <w:rStyle w:val="Hyperlink"/>
          </w:rPr>
          <w:t>[3]</w:t>
        </w:r>
      </w:hyperlink>
      <w:r>
        <w:t xml:space="preserve"> (e.g. partitioning a fixed daily cap into new vs. review slots).</w:t>
      </w:r>
    </w:p>
    <w:p w14:paraId="14775100" w14:textId="77777777" w:rsidR="00D75298" w:rsidRDefault="00000000">
      <w:pPr>
        <w:pStyle w:val="BodyText"/>
      </w:pPr>
      <w:r>
        <w:t>When exam time is short, compression of intervals and focused review of difficult material are crucial. Mathematically, this means scaling planned review times and potentially lowering the retention threshold for earlier review. In all cases, the schedule remains rooted in research: leverage Ebbinghaus’s curve</w:t>
      </w:r>
      <w:hyperlink r:id="rId65" w:anchor=":~:text=The%20forgetting%20curve%20hypothesizes%20the,consciously%20review%20the%20learned%20material">
        <w:r>
          <w:rPr>
            <w:rStyle w:val="Hyperlink"/>
          </w:rPr>
          <w:t>[4]</w:t>
        </w:r>
      </w:hyperlink>
      <w:r>
        <w:t>, use retrieval practice as a desirable difficulty</w:t>
      </w:r>
      <w:hyperlink r:id="rId66" w:anchor=":~:text=Massed%20practice%20on%20a%20task%2C,or%20fail%20to%20learn%20and">
        <w:r>
          <w:rPr>
            <w:rStyle w:val="Hyperlink"/>
          </w:rPr>
          <w:t>[10]</w:t>
        </w:r>
      </w:hyperlink>
      <w:r>
        <w:t>, and recognize working-memory bounds</w:t>
      </w:r>
      <w:hyperlink r:id="rId67" w:anchor=":~:text=domain,Many%20educational">
        <w:r>
          <w:rPr>
            <w:rStyle w:val="Hyperlink"/>
          </w:rPr>
          <w:t>[3]</w:t>
        </w:r>
      </w:hyperlink>
      <w:r>
        <w:t>. By turning these insights into explicit scheduling formulas and priority rules, we can enhance Neurema (or any similar system) to maximize learning efficiency in a 60-day (or shorter) study period.</w:t>
      </w:r>
    </w:p>
    <w:bookmarkEnd w:id="2"/>
    <w:bookmarkEnd w:id="8"/>
    <w:p w14:paraId="406B30F6" w14:textId="77777777" w:rsidR="00D75298" w:rsidRDefault="00000000">
      <w:r>
        <w:pict w14:anchorId="37B70708">
          <v:rect id="_x0000_i1030" style="width:0;height:1.5pt" o:hralign="center" o:hrstd="t" o:hr="t"/>
        </w:pict>
      </w:r>
    </w:p>
    <w:bookmarkStart w:id="9" w:name="citations"/>
    <w:p w14:paraId="6B421D8A" w14:textId="77777777" w:rsidR="00D75298" w:rsidRDefault="00000000">
      <w:pPr>
        <w:pStyle w:val="FirstParagraph"/>
      </w:pPr>
      <w:r>
        <w:fldChar w:fldCharType="begin"/>
      </w:r>
      <w:r>
        <w:instrText>HYPERLINK "https://pmc.ncbi.nlm.nih.gov/articles/PMC6410796/" \l ":~:text=with%20the%20Leitner%20system%20,review%20by%20greedily%20selecting%20the" \h</w:instrText>
      </w:r>
      <w:r>
        <w:fldChar w:fldCharType="separate"/>
      </w:r>
      <w:r>
        <w:rPr>
          <w:rStyle w:val="Hyperlink"/>
        </w:rPr>
        <w:t>[1]</w:t>
      </w:r>
      <w:r>
        <w:fldChar w:fldCharType="end"/>
      </w:r>
      <w:r>
        <w:t xml:space="preserve"> </w:t>
      </w:r>
      <w:hyperlink r:id="rId68" w:anchor=":~:text=For%20two%20well,effectively%20than%20learners%20who%20follow">
        <w:r>
          <w:rPr>
            <w:rStyle w:val="Hyperlink"/>
          </w:rPr>
          <w:t>[2]</w:t>
        </w:r>
      </w:hyperlink>
      <w:r>
        <w:t xml:space="preserve"> </w:t>
      </w:r>
      <w:hyperlink r:id="rId69" w:anchor=":~:text=these%20empirical%20studies%20have%20motivated,recalled%29%20information">
        <w:r>
          <w:rPr>
            <w:rStyle w:val="Hyperlink"/>
          </w:rPr>
          <w:t>[11]</w:t>
        </w:r>
      </w:hyperlink>
      <w:r>
        <w:t xml:space="preserve"> </w:t>
      </w:r>
      <w:hyperlink r:id="rId70" w:anchor=":~:text=half,refer%20to">
        <w:r>
          <w:rPr>
            <w:rStyle w:val="Hyperlink"/>
          </w:rPr>
          <w:t>[12]</w:t>
        </w:r>
      </w:hyperlink>
      <w:r>
        <w:t xml:space="preserve">  Enhancing human learning via spaced repetition optimization - PMC </w:t>
      </w:r>
    </w:p>
    <w:p w14:paraId="62741E9B" w14:textId="77777777" w:rsidR="00D75298" w:rsidRDefault="00000000">
      <w:pPr>
        <w:pStyle w:val="BodyText"/>
      </w:pPr>
      <w:hyperlink r:id="rId71">
        <w:r>
          <w:rPr>
            <w:rStyle w:val="Hyperlink"/>
          </w:rPr>
          <w:t>https://pmc.ncbi.nlm.nih.gov/articles/PMC6410796/</w:t>
        </w:r>
      </w:hyperlink>
    </w:p>
    <w:p w14:paraId="1BC71AAB" w14:textId="77777777" w:rsidR="00D75298" w:rsidRDefault="00000000">
      <w:pPr>
        <w:pStyle w:val="BodyText"/>
      </w:pPr>
      <w:hyperlink r:id="rId72" w:anchor=":~:text=domain,Many%20educational">
        <w:r>
          <w:rPr>
            <w:rStyle w:val="Hyperlink"/>
          </w:rPr>
          <w:t>[3]</w:t>
        </w:r>
      </w:hyperlink>
      <w:r>
        <w:t xml:space="preserve"> EdTech Books</w:t>
      </w:r>
    </w:p>
    <w:p w14:paraId="4056DD59" w14:textId="77777777" w:rsidR="00D75298" w:rsidRDefault="00000000">
      <w:pPr>
        <w:pStyle w:val="BodyText"/>
      </w:pPr>
      <w:hyperlink r:id="rId73">
        <w:r>
          <w:rPr>
            <w:rStyle w:val="Hyperlink"/>
          </w:rPr>
          <w:t>https://edtechbooks.org/encyclopedia/cognitive_load_theory</w:t>
        </w:r>
      </w:hyperlink>
    </w:p>
    <w:p w14:paraId="5F768742" w14:textId="77777777" w:rsidR="00D75298" w:rsidRDefault="00000000">
      <w:pPr>
        <w:pStyle w:val="BodyText"/>
      </w:pPr>
      <w:hyperlink r:id="rId74" w:anchor=":~:text=The%20forgetting%20curve%20hypothesizes%20the,consciously%20review%20the%20learned%20material">
        <w:r>
          <w:rPr>
            <w:rStyle w:val="Hyperlink"/>
          </w:rPr>
          <w:t>[4]</w:t>
        </w:r>
      </w:hyperlink>
      <w:r>
        <w:t xml:space="preserve"> Forgetting curve - Wikipedia</w:t>
      </w:r>
    </w:p>
    <w:p w14:paraId="612FC657" w14:textId="77777777" w:rsidR="00D75298" w:rsidRDefault="00000000">
      <w:pPr>
        <w:pStyle w:val="BodyText"/>
      </w:pPr>
      <w:hyperlink r:id="rId75">
        <w:r>
          <w:rPr>
            <w:rStyle w:val="Hyperlink"/>
          </w:rPr>
          <w:t>https://en.wikipedia.org/wiki/Forgetting_curve</w:t>
        </w:r>
      </w:hyperlink>
    </w:p>
    <w:p w14:paraId="00D8EFDF" w14:textId="77777777" w:rsidR="00D75298" w:rsidRDefault="00000000">
      <w:pPr>
        <w:pStyle w:val="BodyText"/>
      </w:pPr>
      <w:hyperlink r:id="rId76" w:anchor=":~:text=to%20learn%20formulas%20for%20calculating,a%20sample%20of%206%20paintings">
        <w:r>
          <w:rPr>
            <w:rStyle w:val="Hyperlink"/>
          </w:rPr>
          <w:t>[5]</w:t>
        </w:r>
      </w:hyperlink>
      <w:r>
        <w:t xml:space="preserve"> </w:t>
      </w:r>
      <w:hyperlink r:id="rId77" w:anchor=":~:text=practice%20,stress%20the%20importance%20of%20incorporat%02ing">
        <w:r>
          <w:rPr>
            <w:rStyle w:val="Hyperlink"/>
          </w:rPr>
          <w:t>[7]</w:t>
        </w:r>
      </w:hyperlink>
      <w:r>
        <w:t xml:space="preserve"> </w:t>
      </w:r>
      <w:hyperlink r:id="rId78" w:anchor=":~:text=fre%02quently%20results%20in%20rapid%20gains,versus%20Blocking%20Instruction%20on%20Separate">
        <w:r>
          <w:rPr>
            <w:rStyle w:val="Hyperlink"/>
          </w:rPr>
          <w:t>[9]</w:t>
        </w:r>
      </w:hyperlink>
      <w:r>
        <w:t xml:space="preserve"> CH05.qxp:FABBS_DESIGN_NE</w:t>
      </w:r>
    </w:p>
    <w:p w14:paraId="1D76DF95" w14:textId="77777777" w:rsidR="00D75298" w:rsidRDefault="00000000">
      <w:pPr>
        <w:pStyle w:val="BodyText"/>
      </w:pPr>
      <w:hyperlink r:id="rId79">
        <w:r>
          <w:rPr>
            <w:rStyle w:val="Hyperlink"/>
          </w:rPr>
          <w:t>https://bjorklab.psych.ucla.edu/wp-content/uploads/sites/13/2016/04/EBjork_RBjork_2011.pdf</w:t>
        </w:r>
      </w:hyperlink>
    </w:p>
    <w:p w14:paraId="746C18FD" w14:textId="77777777" w:rsidR="00D75298" w:rsidRDefault="00000000">
      <w:pPr>
        <w:pStyle w:val="BodyText"/>
      </w:pPr>
      <w:hyperlink r:id="rId80" w:anchor=":~:text=The%20spacing%20effect%20is%20the,proposing%20dual%20process%20models%20wherein">
        <w:r>
          <w:rPr>
            <w:rStyle w:val="Hyperlink"/>
          </w:rPr>
          <w:t>[6]</w:t>
        </w:r>
      </w:hyperlink>
      <w:r>
        <w:t xml:space="preserve"> </w:t>
      </w:r>
      <w:hyperlink r:id="rId81" w:anchor=":~:text=Studies%20utilizing%20skill%20learning%20tasks,2016">
        <w:r>
          <w:rPr>
            <w:rStyle w:val="Hyperlink"/>
          </w:rPr>
          <w:t>[8]</w:t>
        </w:r>
      </w:hyperlink>
      <w:r>
        <w:t xml:space="preserve"> Frontiers | Spacing Repetitions Over Long Timescales: A Review and a Reconsolidation Explanation</w:t>
      </w:r>
    </w:p>
    <w:p w14:paraId="7207A0A6" w14:textId="77777777" w:rsidR="00D75298" w:rsidRDefault="00000000">
      <w:pPr>
        <w:pStyle w:val="BodyText"/>
      </w:pPr>
      <w:hyperlink r:id="rId82">
        <w:r>
          <w:rPr>
            <w:rStyle w:val="Hyperlink"/>
          </w:rPr>
          <w:t>https://www.frontiersin.org/journals/psychology/articles/10.3389/fpsyg.2017.00962/full</w:t>
        </w:r>
      </w:hyperlink>
    </w:p>
    <w:p w14:paraId="29AAF6C5" w14:textId="77777777" w:rsidR="00D75298" w:rsidRDefault="00000000">
      <w:pPr>
        <w:pStyle w:val="BodyText"/>
      </w:pPr>
      <w:hyperlink r:id="rId83" w:anchor=":~:text=Massed%20practice%20on%20a%20task%2C,or%20fail%20to%20learn%20and">
        <w:r>
          <w:rPr>
            <w:rStyle w:val="Hyperlink"/>
          </w:rPr>
          <w:t>[10]</w:t>
        </w:r>
      </w:hyperlink>
      <w:r>
        <w:t xml:space="preserve"> bjorklab.psych.ucla.edu</w:t>
      </w:r>
    </w:p>
    <w:p w14:paraId="1EC99DCA" w14:textId="77777777" w:rsidR="00D75298" w:rsidRDefault="00000000">
      <w:pPr>
        <w:pStyle w:val="BodyText"/>
      </w:pPr>
      <w:hyperlink r:id="rId84">
        <w:r>
          <w:rPr>
            <w:rStyle w:val="Hyperlink"/>
          </w:rPr>
          <w:t>https://bjorklab.psych.ucla.edu/wp-content/uploads/sites/13/2016/07/RBjork_inpress.pdf</w:t>
        </w:r>
      </w:hyperlink>
      <w:bookmarkEnd w:id="9"/>
    </w:p>
    <w:sectPr w:rsidR="00D7529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DE4D6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9EB2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62058000">
    <w:abstractNumId w:val="0"/>
  </w:num>
  <w:num w:numId="2" w16cid:durableId="1918130008">
    <w:abstractNumId w:val="1"/>
  </w:num>
  <w:num w:numId="3" w16cid:durableId="1427505442">
    <w:abstractNumId w:val="1"/>
  </w:num>
  <w:num w:numId="4" w16cid:durableId="1904872674">
    <w:abstractNumId w:val="1"/>
  </w:num>
  <w:num w:numId="5" w16cid:durableId="1756125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75298"/>
    <w:rsid w:val="00213DD7"/>
    <w:rsid w:val="00BF2545"/>
    <w:rsid w:val="00D7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663C4"/>
  <w15:docId w15:val="{0D53D698-28C8-4F0B-906B-5791FED4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jorklab.psych.ucla.edu/wp-content/uploads/sites/13/2016/04/EBjork_RBjork_2011.pdf" TargetMode="External"/><Relationship Id="rId21" Type="http://schemas.openxmlformats.org/officeDocument/2006/relationships/hyperlink" Target="https://en.wikipedia.org/wiki/Forgetting_curve" TargetMode="External"/><Relationship Id="rId42" Type="http://schemas.openxmlformats.org/officeDocument/2006/relationships/hyperlink" Target="https://bjorklab.psych.ucla.edu/wp-content/uploads/sites/13/2016/07/RBjork_inpress.pdf" TargetMode="External"/><Relationship Id="rId47" Type="http://schemas.openxmlformats.org/officeDocument/2006/relationships/hyperlink" Target="https://pmc.ncbi.nlm.nih.gov/articles/PMC6410796/" TargetMode="External"/><Relationship Id="rId63" Type="http://schemas.openxmlformats.org/officeDocument/2006/relationships/hyperlink" Target="https://bjorklab.psych.ucla.edu/wp-content/uploads/sites/13/2016/04/EBjork_RBjork_2011.pdf" TargetMode="External"/><Relationship Id="rId68" Type="http://schemas.openxmlformats.org/officeDocument/2006/relationships/hyperlink" Target="https://pmc.ncbi.nlm.nih.gov/articles/PMC6410796/" TargetMode="External"/><Relationship Id="rId84" Type="http://schemas.openxmlformats.org/officeDocument/2006/relationships/hyperlink" Target="https://bjorklab.psych.ucla.edu/wp-content/uploads/sites/13/2016/07/RBjork_inpress.pdf" TargetMode="External"/><Relationship Id="rId16" Type="http://schemas.openxmlformats.org/officeDocument/2006/relationships/hyperlink" Target="https://www.frontiersin.org/journals/psychology/articles/10.3389/fpsyg.2017.00962/full" TargetMode="External"/><Relationship Id="rId11" Type="http://schemas.openxmlformats.org/officeDocument/2006/relationships/hyperlink" Target="https://pmc.ncbi.nlm.nih.gov/articles/PMC6410796/" TargetMode="External"/><Relationship Id="rId32" Type="http://schemas.openxmlformats.org/officeDocument/2006/relationships/hyperlink" Target="https://edtechbooks.org/encyclopedia/cognitive_load_theory" TargetMode="External"/><Relationship Id="rId37" Type="http://schemas.openxmlformats.org/officeDocument/2006/relationships/hyperlink" Target="https://edtechbooks.org/encyclopedia/cognitive_load_theory" TargetMode="External"/><Relationship Id="rId53" Type="http://schemas.openxmlformats.org/officeDocument/2006/relationships/hyperlink" Target="https://bjorklab.psych.ucla.edu/wp-content/uploads/sites/13/2016/07/RBjork_inpress.pdf" TargetMode="External"/><Relationship Id="rId58" Type="http://schemas.openxmlformats.org/officeDocument/2006/relationships/hyperlink" Target="https://bjorklab.psych.ucla.edu/wp-content/uploads/sites/13/2016/07/RBjork_inpress.pdf" TargetMode="External"/><Relationship Id="rId74" Type="http://schemas.openxmlformats.org/officeDocument/2006/relationships/hyperlink" Target="https://en.wikipedia.org/wiki/Forgetting_curve" TargetMode="External"/><Relationship Id="rId79" Type="http://schemas.openxmlformats.org/officeDocument/2006/relationships/hyperlink" Target="https://bjorklab.psych.ucla.edu/wp-content/uploads/sites/13/2016/04/EBjork_RBjork_2011.pdf" TargetMode="External"/><Relationship Id="rId5" Type="http://schemas.openxmlformats.org/officeDocument/2006/relationships/hyperlink" Target="https://pmc.ncbi.nlm.nih.gov/articles/PMC6410796/" TargetMode="External"/><Relationship Id="rId19" Type="http://schemas.openxmlformats.org/officeDocument/2006/relationships/hyperlink" Target="https://bjorklab.psych.ucla.edu/wp-content/uploads/sites/13/2016/04/EBjork_RBjork_2011.pdf" TargetMode="External"/><Relationship Id="rId14" Type="http://schemas.openxmlformats.org/officeDocument/2006/relationships/hyperlink" Target="https://www.frontiersin.org/journals/psychology/articles/10.3389/fpsyg.2017.00962/full" TargetMode="External"/><Relationship Id="rId22" Type="http://schemas.openxmlformats.org/officeDocument/2006/relationships/hyperlink" Target="https://pmc.ncbi.nlm.nih.gov/articles/PMC6410796/" TargetMode="External"/><Relationship Id="rId27" Type="http://schemas.openxmlformats.org/officeDocument/2006/relationships/hyperlink" Target="https://bjorklab.psych.ucla.edu/wp-content/uploads/sites/13/2016/04/EBjork_RBjork_2011.pdf" TargetMode="External"/><Relationship Id="rId30" Type="http://schemas.openxmlformats.org/officeDocument/2006/relationships/hyperlink" Target="https://edtechbooks.org/encyclopedia/cognitive_load_theory" TargetMode="External"/><Relationship Id="rId35" Type="http://schemas.openxmlformats.org/officeDocument/2006/relationships/hyperlink" Target="https://pmc.ncbi.nlm.nih.gov/articles/PMC6410796/" TargetMode="External"/><Relationship Id="rId43" Type="http://schemas.openxmlformats.org/officeDocument/2006/relationships/hyperlink" Target="https://pmc.ncbi.nlm.nih.gov/articles/PMC6410796/" TargetMode="External"/><Relationship Id="rId48" Type="http://schemas.openxmlformats.org/officeDocument/2006/relationships/hyperlink" Target="https://pmc.ncbi.nlm.nih.gov/articles/PMC6410796/" TargetMode="External"/><Relationship Id="rId56" Type="http://schemas.openxmlformats.org/officeDocument/2006/relationships/hyperlink" Target="https://bjorklab.psych.ucla.edu/wp-content/uploads/sites/13/2016/07/RBjork_inpress.pdf" TargetMode="External"/><Relationship Id="rId64" Type="http://schemas.openxmlformats.org/officeDocument/2006/relationships/hyperlink" Target="https://edtechbooks.org/encyclopedia/cognitive_load_theory" TargetMode="External"/><Relationship Id="rId69" Type="http://schemas.openxmlformats.org/officeDocument/2006/relationships/hyperlink" Target="https://pmc.ncbi.nlm.nih.gov/articles/PMC6410796/" TargetMode="External"/><Relationship Id="rId77" Type="http://schemas.openxmlformats.org/officeDocument/2006/relationships/hyperlink" Target="https://bjorklab.psych.ucla.edu/wp-content/uploads/sites/13/2016/04/EBjork_RBjork_2011.pdf" TargetMode="External"/><Relationship Id="rId8" Type="http://schemas.openxmlformats.org/officeDocument/2006/relationships/hyperlink" Target="https://en.wikipedia.org/wiki/Forgetting_curve" TargetMode="External"/><Relationship Id="rId51" Type="http://schemas.openxmlformats.org/officeDocument/2006/relationships/hyperlink" Target="https://en.wikipedia.org/wiki/Forgetting_curve" TargetMode="External"/><Relationship Id="rId72" Type="http://schemas.openxmlformats.org/officeDocument/2006/relationships/hyperlink" Target="https://edtechbooks.org/encyclopedia/cognitive_load_theory" TargetMode="External"/><Relationship Id="rId80" Type="http://schemas.openxmlformats.org/officeDocument/2006/relationships/hyperlink" Target="https://www.frontiersin.org/journals/psychology/articles/10.3389/fpsyg.2017.00962/full"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dtechbooks.org/encyclopedia/cognitive_load_theory" TargetMode="External"/><Relationship Id="rId17" Type="http://schemas.openxmlformats.org/officeDocument/2006/relationships/hyperlink" Target="https://www.frontiersin.org/journals/psychology/articles/10.3389/fpsyg.2017.00962/full" TargetMode="External"/><Relationship Id="rId25" Type="http://schemas.openxmlformats.org/officeDocument/2006/relationships/hyperlink" Target="https://bjorklab.psych.ucla.edu/wp-content/uploads/sites/13/2016/07/RBjork_inpress.pdf" TargetMode="External"/><Relationship Id="rId33" Type="http://schemas.openxmlformats.org/officeDocument/2006/relationships/hyperlink" Target="https://edtechbooks.org/encyclopedia/cognitive_load_theory" TargetMode="External"/><Relationship Id="rId38" Type="http://schemas.openxmlformats.org/officeDocument/2006/relationships/hyperlink" Target="https://bjorklab.psych.ucla.edu/wp-content/uploads/sites/13/2016/04/EBjork_RBjork_2011.pdf" TargetMode="External"/><Relationship Id="rId46" Type="http://schemas.openxmlformats.org/officeDocument/2006/relationships/hyperlink" Target="https://edtechbooks.org/encyclopedia/cognitive_load_theory" TargetMode="External"/><Relationship Id="rId59" Type="http://schemas.openxmlformats.org/officeDocument/2006/relationships/hyperlink" Target="https://www.frontiersin.org/journals/psychology/articles/10.3389/fpsyg.2017.00962/full" TargetMode="External"/><Relationship Id="rId67" Type="http://schemas.openxmlformats.org/officeDocument/2006/relationships/hyperlink" Target="https://edtechbooks.org/encyclopedia/cognitive_load_theory" TargetMode="External"/><Relationship Id="rId20" Type="http://schemas.openxmlformats.org/officeDocument/2006/relationships/hyperlink" Target="https://en.wikipedia.org/wiki/Forgetting_curve" TargetMode="External"/><Relationship Id="rId41" Type="http://schemas.openxmlformats.org/officeDocument/2006/relationships/hyperlink" Target="https://pmc.ncbi.nlm.nih.gov/articles/PMC6410796/" TargetMode="External"/><Relationship Id="rId54" Type="http://schemas.openxmlformats.org/officeDocument/2006/relationships/hyperlink" Target="https://edtechbooks.org/encyclopedia/cognitive_load_theory" TargetMode="External"/><Relationship Id="rId62" Type="http://schemas.openxmlformats.org/officeDocument/2006/relationships/hyperlink" Target="https://pmc.ncbi.nlm.nih.gov/articles/PMC6410796/" TargetMode="External"/><Relationship Id="rId70" Type="http://schemas.openxmlformats.org/officeDocument/2006/relationships/hyperlink" Target="https://pmc.ncbi.nlm.nih.gov/articles/PMC6410796/" TargetMode="External"/><Relationship Id="rId75" Type="http://schemas.openxmlformats.org/officeDocument/2006/relationships/hyperlink" Target="https://en.wikipedia.org/wiki/Forgetting_curve" TargetMode="External"/><Relationship Id="rId83" Type="http://schemas.openxmlformats.org/officeDocument/2006/relationships/hyperlink" Target="https://bjorklab.psych.ucla.edu/wp-content/uploads/sites/13/2016/07/RBjork_inpress.pdf" TargetMode="External"/><Relationship Id="rId1" Type="http://schemas.openxmlformats.org/officeDocument/2006/relationships/numbering" Target="numbering.xml"/><Relationship Id="rId6" Type="http://schemas.openxmlformats.org/officeDocument/2006/relationships/hyperlink" Target="https://pmc.ncbi.nlm.nih.gov/articles/PMC6410796/" TargetMode="External"/><Relationship Id="rId15" Type="http://schemas.openxmlformats.org/officeDocument/2006/relationships/hyperlink" Target="https://bjorklab.psych.ucla.edu/wp-content/uploads/sites/13/2016/04/EBjork_RBjork_2011.pdf" TargetMode="External"/><Relationship Id="rId23" Type="http://schemas.openxmlformats.org/officeDocument/2006/relationships/hyperlink" Target="https://bjorklab.psych.ucla.edu/wp-content/uploads/sites/13/2016/07/RBjork_inpress.pdf" TargetMode="External"/><Relationship Id="rId28" Type="http://schemas.openxmlformats.org/officeDocument/2006/relationships/hyperlink" Target="https://bjorklab.psych.ucla.edu/wp-content/uploads/sites/13/2016/04/EBjork_RBjork_2011.pdf" TargetMode="External"/><Relationship Id="rId36" Type="http://schemas.openxmlformats.org/officeDocument/2006/relationships/hyperlink" Target="https://bjorklab.psych.ucla.edu/wp-content/uploads/sites/13/2016/07/RBjork_inpress.pdf" TargetMode="External"/><Relationship Id="rId49" Type="http://schemas.openxmlformats.org/officeDocument/2006/relationships/hyperlink" Target="https://pmc.ncbi.nlm.nih.gov/articles/PMC6410796/" TargetMode="External"/><Relationship Id="rId57" Type="http://schemas.openxmlformats.org/officeDocument/2006/relationships/hyperlink" Target="https://bjorklab.psych.ucla.edu/wp-content/uploads/sites/13/2016/04/EBjork_RBjork_2011.pdf" TargetMode="External"/><Relationship Id="rId10" Type="http://schemas.openxmlformats.org/officeDocument/2006/relationships/hyperlink" Target="https://en.wikipedia.org/wiki/Forgetting_curve" TargetMode="External"/><Relationship Id="rId31" Type="http://schemas.openxmlformats.org/officeDocument/2006/relationships/hyperlink" Target="https://edtechbooks.org/encyclopedia/cognitive_load_theory" TargetMode="External"/><Relationship Id="rId44" Type="http://schemas.openxmlformats.org/officeDocument/2006/relationships/hyperlink" Target="https://bjorklab.psych.ucla.edu/wp-content/uploads/sites/13/2016/04/EBjork_RBjork_2011.pdf" TargetMode="External"/><Relationship Id="rId52" Type="http://schemas.openxmlformats.org/officeDocument/2006/relationships/hyperlink" Target="https://bjorklab.psych.ucla.edu/wp-content/uploads/sites/13/2016/04/EBjork_RBjork_2011.pdf" TargetMode="External"/><Relationship Id="rId60" Type="http://schemas.openxmlformats.org/officeDocument/2006/relationships/hyperlink" Target="https://bjorklab.psych.ucla.edu/wp-content/uploads/sites/13/2016/04/EBjork_RBjork_2011.pdf" TargetMode="External"/><Relationship Id="rId65" Type="http://schemas.openxmlformats.org/officeDocument/2006/relationships/hyperlink" Target="https://en.wikipedia.org/wiki/Forgetting_curve" TargetMode="External"/><Relationship Id="rId73" Type="http://schemas.openxmlformats.org/officeDocument/2006/relationships/hyperlink" Target="https://edtechbooks.org/encyclopedia/cognitive_load_theory" TargetMode="External"/><Relationship Id="rId78" Type="http://schemas.openxmlformats.org/officeDocument/2006/relationships/hyperlink" Target="https://bjorklab.psych.ucla.edu/wp-content/uploads/sites/13/2016/04/EBjork_RBjork_2011.pdf" TargetMode="External"/><Relationship Id="rId81" Type="http://schemas.openxmlformats.org/officeDocument/2006/relationships/hyperlink" Target="https://www.frontiersin.org/journals/psychology/articles/10.3389/fpsyg.2017.00962/full"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6410796/" TargetMode="External"/><Relationship Id="rId13" Type="http://schemas.openxmlformats.org/officeDocument/2006/relationships/hyperlink" Target="https://bjorklab.psych.ucla.edu/wp-content/uploads/sites/13/2016/04/EBjork_RBjork_2011.pdf" TargetMode="External"/><Relationship Id="rId18" Type="http://schemas.openxmlformats.org/officeDocument/2006/relationships/hyperlink" Target="https://bjorklab.psych.ucla.edu/wp-content/uploads/sites/13/2016/04/EBjork_RBjork_2011.pdf" TargetMode="External"/><Relationship Id="rId39" Type="http://schemas.openxmlformats.org/officeDocument/2006/relationships/hyperlink" Target="https://pmc.ncbi.nlm.nih.gov/articles/PMC6410796/" TargetMode="External"/><Relationship Id="rId34" Type="http://schemas.openxmlformats.org/officeDocument/2006/relationships/hyperlink" Target="https://pmc.ncbi.nlm.nih.gov/articles/PMC6410796/" TargetMode="External"/><Relationship Id="rId50" Type="http://schemas.openxmlformats.org/officeDocument/2006/relationships/hyperlink" Target="https://bjorklab.psych.ucla.edu/wp-content/uploads/sites/13/2016/04/EBjork_RBjork_2011.pdf" TargetMode="External"/><Relationship Id="rId55" Type="http://schemas.openxmlformats.org/officeDocument/2006/relationships/hyperlink" Target="https://pmc.ncbi.nlm.nih.gov/articles/PMC6410796/" TargetMode="External"/><Relationship Id="rId76" Type="http://schemas.openxmlformats.org/officeDocument/2006/relationships/hyperlink" Target="https://bjorklab.psych.ucla.edu/wp-content/uploads/sites/13/2016/04/EBjork_RBjork_2011.pdf" TargetMode="External"/><Relationship Id="rId7" Type="http://schemas.openxmlformats.org/officeDocument/2006/relationships/hyperlink" Target="https://edtechbooks.org/encyclopedia/cognitive_load_theory" TargetMode="External"/><Relationship Id="rId71" Type="http://schemas.openxmlformats.org/officeDocument/2006/relationships/hyperlink" Target="https://pmc.ncbi.nlm.nih.gov/articles/PMC6410796/" TargetMode="External"/><Relationship Id="rId2" Type="http://schemas.openxmlformats.org/officeDocument/2006/relationships/styles" Target="styles.xml"/><Relationship Id="rId29" Type="http://schemas.openxmlformats.org/officeDocument/2006/relationships/hyperlink" Target="https://bjorklab.psych.ucla.edu/wp-content/uploads/sites/13/2016/04/EBjork_RBjork_2011.pdf" TargetMode="External"/><Relationship Id="rId24" Type="http://schemas.openxmlformats.org/officeDocument/2006/relationships/hyperlink" Target="https://bjorklab.psych.ucla.edu/wp-content/uploads/sites/13/2016/07/RBjork_inpress.pdf" TargetMode="External"/><Relationship Id="rId40" Type="http://schemas.openxmlformats.org/officeDocument/2006/relationships/hyperlink" Target="https://pmc.ncbi.nlm.nih.gov/articles/PMC6410796/" TargetMode="External"/><Relationship Id="rId45" Type="http://schemas.openxmlformats.org/officeDocument/2006/relationships/hyperlink" Target="https://bjorklab.psych.ucla.edu/wp-content/uploads/sites/13/2016/04/EBjork_RBjork_2011.pdf" TargetMode="External"/><Relationship Id="rId66" Type="http://schemas.openxmlformats.org/officeDocument/2006/relationships/hyperlink" Target="https://bjorklab.psych.ucla.edu/wp-content/uploads/sites/13/2016/07/RBjork_inpress.pdf" TargetMode="External"/><Relationship Id="rId61" Type="http://schemas.openxmlformats.org/officeDocument/2006/relationships/hyperlink" Target="https://pmc.ncbi.nlm.nih.gov/articles/PMC6410796/" TargetMode="External"/><Relationship Id="rId82" Type="http://schemas.openxmlformats.org/officeDocument/2006/relationships/hyperlink" Target="https://www.frontiersin.org/journals/psychology/articles/10.3389/fpsyg.2017.00962/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4922</Words>
  <Characters>28061</Characters>
  <Application>Microsoft Office Word</Application>
  <DocSecurity>0</DocSecurity>
  <Lines>233</Lines>
  <Paragraphs>65</Paragraphs>
  <ScaleCrop>false</ScaleCrop>
  <Company/>
  <LinksUpToDate>false</LinksUpToDate>
  <CharactersWithSpaces>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Priya Bhatt</cp:lastModifiedBy>
  <cp:revision>2</cp:revision>
  <dcterms:created xsi:type="dcterms:W3CDTF">2025-11-08T17:18:00Z</dcterms:created>
  <dcterms:modified xsi:type="dcterms:W3CDTF">2025-11-08T17:21:00Z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