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AF36" w14:textId="771920B3" w:rsidR="00206C48" w:rsidRDefault="00282618" w:rsidP="1D3A805F">
      <w:pPr>
        <w:spacing w:line="257" w:lineRule="auto"/>
      </w:pPr>
      <w:r>
        <w:rPr>
          <w:rFonts w:ascii="Calibri" w:eastAsia="Calibri" w:hAnsi="Calibri" w:cs="Calibri"/>
          <w:b/>
          <w:sz w:val="28"/>
          <w:szCs w:val="28"/>
        </w:rPr>
        <w:t>A</w:t>
      </w:r>
      <w:r w:rsidR="00DD7DD4">
        <w:rPr>
          <w:rFonts w:ascii="Calibri" w:eastAsia="Calibri" w:hAnsi="Calibri" w:cs="Calibri"/>
          <w:b/>
          <w:sz w:val="28"/>
          <w:szCs w:val="28"/>
        </w:rPr>
        <w:t>m</w:t>
      </w:r>
      <w:r w:rsidR="00206C48" w:rsidRPr="1D3A805F">
        <w:rPr>
          <w:rFonts w:ascii="Calibri" w:eastAsia="Calibri" w:hAnsi="Calibri" w:cs="Calibri"/>
          <w:b/>
          <w:sz w:val="28"/>
          <w:szCs w:val="28"/>
        </w:rPr>
        <w:t>bidexterity</w:t>
      </w:r>
    </w:p>
    <w:p w14:paraId="7BBE9800" w14:textId="184D218A" w:rsidR="00CB2FF7" w:rsidRDefault="00CB2FF7" w:rsidP="1D3A805F">
      <w:pPr>
        <w:spacing w:line="257" w:lineRule="auto"/>
      </w:pPr>
      <w:r w:rsidRPr="1D3A805F">
        <w:rPr>
          <w:rFonts w:ascii="Calibri" w:eastAsia="Calibri" w:hAnsi="Calibri" w:cs="Calibri"/>
        </w:rPr>
        <w:t>Let’s say A &amp; B represent one hemisphere, while C &amp; D represent the other.</w:t>
      </w:r>
    </w:p>
    <w:p w14:paraId="64551A3C" w14:textId="67A79CD9" w:rsidR="00CB2FF7" w:rsidRDefault="00CB2FF7" w:rsidP="1D3A805F">
      <w:pPr>
        <w:spacing w:line="257" w:lineRule="auto"/>
      </w:pPr>
      <w:r w:rsidRPr="1D3A805F">
        <w:rPr>
          <w:rFonts w:ascii="Calibri" w:eastAsia="Calibri" w:hAnsi="Calibri" w:cs="Calibri"/>
        </w:rPr>
        <w:t>Let’s say B &amp; C represent corticocortical neurons, while A &amp; D are local.</w:t>
      </w:r>
    </w:p>
    <w:p w14:paraId="01F8E022" w14:textId="41CB6401" w:rsidR="00E458C1" w:rsidRDefault="0025021B" w:rsidP="1D3A805F">
      <w:pPr>
        <w:spacing w:line="257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458C1">
        <w:rPr>
          <w:rFonts w:cstheme="minorHAnsi"/>
          <w:noProof/>
        </w:rPr>
        <w:drawing>
          <wp:inline distT="0" distB="0" distL="0" distR="0" wp14:anchorId="4781F1EF" wp14:editId="5F2B424D">
            <wp:extent cx="1314450" cy="130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31" cy="13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1D44" w14:textId="2B5D4C25" w:rsidR="00CB2FF7" w:rsidRDefault="008169C7" w:rsidP="1D3A805F">
      <w:pPr>
        <w:spacing w:line="257" w:lineRule="auto"/>
      </w:pPr>
      <w:r w:rsidRPr="1D3A805F">
        <w:rPr>
          <w:rFonts w:ascii="Calibri" w:eastAsia="Calibri" w:hAnsi="Calibri" w:cs="Calibri"/>
        </w:rPr>
        <w:t xml:space="preserve">The center section </w:t>
      </w:r>
      <w:r w:rsidR="00E458C1" w:rsidRPr="1D3A805F">
        <w:rPr>
          <w:rFonts w:ascii="Calibri" w:eastAsia="Calibri" w:hAnsi="Calibri" w:cs="Calibri"/>
        </w:rPr>
        <w:t xml:space="preserve">between B &amp; C </w:t>
      </w:r>
      <w:r w:rsidRPr="1D3A805F">
        <w:rPr>
          <w:rFonts w:ascii="Calibri" w:eastAsia="Calibri" w:hAnsi="Calibri" w:cs="Calibri"/>
        </w:rPr>
        <w:t xml:space="preserve">represents the Corpus Callosum, consisting of </w:t>
      </w:r>
      <w:r w:rsidRPr="1D3A805F">
        <w:rPr>
          <w:rFonts w:ascii="Calibri" w:eastAsia="Calibri" w:hAnsi="Calibri" w:cs="Calibri"/>
          <w:color w:val="202122"/>
          <w:sz w:val="21"/>
          <w:szCs w:val="21"/>
        </w:rPr>
        <w:t xml:space="preserve">200–300 million </w:t>
      </w:r>
      <w:r w:rsidRPr="00E458C1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axonal projections</w:t>
      </w:r>
      <w:r w:rsidR="008B3C61">
        <w:rPr>
          <w:rFonts w:cstheme="minorHAnsi"/>
          <w:i/>
          <w:iCs/>
          <w:color w:val="202122"/>
          <w:sz w:val="21"/>
          <w:szCs w:val="21"/>
          <w:shd w:val="clear" w:color="auto" w:fill="FFFFFF"/>
          <w:vertAlign w:val="superscript"/>
        </w:rPr>
        <w:t>1</w:t>
      </w:r>
      <w:r w:rsidRPr="1D3A805F">
        <w:rPr>
          <w:rFonts w:ascii="Calibri" w:eastAsia="Calibri" w:hAnsi="Calibri" w:cs="Calibri"/>
          <w:color w:val="202122"/>
          <w:sz w:val="21"/>
          <w:szCs w:val="21"/>
        </w:rPr>
        <w:t xml:space="preserve">, compared to the </w:t>
      </w:r>
      <w:r w:rsidR="00F47230">
        <w:rPr>
          <w:rFonts w:cstheme="minorHAnsi"/>
          <w:color w:val="202122"/>
          <w:sz w:val="21"/>
          <w:szCs w:val="21"/>
          <w:shd w:val="clear" w:color="auto" w:fill="FFFFFF"/>
        </w:rPr>
        <w:t>100</w:t>
      </w:r>
      <w:r w:rsidRPr="00E458C1">
        <w:rPr>
          <w:rFonts w:cstheme="minorHAnsi"/>
          <w:color w:val="333333"/>
          <w:shd w:val="clear" w:color="auto" w:fill="FFFFFF"/>
        </w:rPr>
        <w:t xml:space="preserve"> billion</w:t>
      </w:r>
      <w:r w:rsidR="0025021B">
        <w:rPr>
          <w:rFonts w:cstheme="minorHAnsi"/>
          <w:color w:val="333333"/>
          <w:shd w:val="clear" w:color="auto" w:fill="FFFFFF"/>
          <w:vertAlign w:val="superscript"/>
        </w:rPr>
        <w:t>2</w:t>
      </w:r>
      <w:r w:rsidRPr="1D3A805F">
        <w:rPr>
          <w:rFonts w:ascii="Calibri" w:eastAsia="Calibri" w:hAnsi="Calibri" w:cs="Calibri"/>
          <w:color w:val="333333"/>
        </w:rPr>
        <w:t xml:space="preserve"> </w:t>
      </w:r>
      <w:r w:rsidRPr="1D3A805F">
        <w:rPr>
          <w:rFonts w:ascii="Calibri" w:eastAsia="Calibri" w:hAnsi="Calibri" w:cs="Calibri"/>
          <w:i/>
          <w:color w:val="333333"/>
        </w:rPr>
        <w:t>neurons</w:t>
      </w:r>
      <w:r w:rsidRPr="1D3A805F">
        <w:rPr>
          <w:rFonts w:ascii="Calibri" w:eastAsia="Calibri" w:hAnsi="Calibri" w:cs="Calibri"/>
          <w:color w:val="333333"/>
        </w:rPr>
        <w:t xml:space="preserve">, interconnected via </w:t>
      </w:r>
      <w:r w:rsidR="0025021B">
        <w:rPr>
          <w:rFonts w:cstheme="minorHAnsi"/>
          <w:color w:val="333333"/>
          <w:shd w:val="clear" w:color="auto" w:fill="FFFFFF"/>
        </w:rPr>
        <w:t xml:space="preserve">the number of </w:t>
      </w:r>
      <w:r w:rsidR="00F47230">
        <w:rPr>
          <w:rFonts w:cstheme="minorHAnsi"/>
          <w:color w:val="333333"/>
          <w:shd w:val="clear" w:color="auto" w:fill="FFFFFF"/>
        </w:rPr>
        <w:t xml:space="preserve">synapses </w:t>
      </w:r>
      <w:r w:rsidR="0025021B">
        <w:rPr>
          <w:rFonts w:cstheme="minorHAnsi"/>
          <w:color w:val="333333"/>
          <w:shd w:val="clear" w:color="auto" w:fill="FFFFFF"/>
        </w:rPr>
        <w:t>they share between hemisphere</w:t>
      </w:r>
      <w:r w:rsidRPr="1D3A805F">
        <w:rPr>
          <w:rFonts w:ascii="Calibri" w:eastAsia="Calibri" w:hAnsi="Calibri" w:cs="Calibri"/>
          <w:color w:val="333333"/>
        </w:rPr>
        <w:t>. That is to say, that the number of cells which make axonal projections across hemispheres is relatively small compared to the number which those cells themselves communicate with</w:t>
      </w:r>
      <w:r w:rsidR="00F47230">
        <w:rPr>
          <w:rFonts w:cstheme="minorHAnsi"/>
          <w:color w:val="333333"/>
          <w:shd w:val="clear" w:color="auto" w:fill="FFFFFF"/>
        </w:rPr>
        <w:t>, and generally serve higher functions.</w:t>
      </w:r>
    </w:p>
    <w:p w14:paraId="65C7881F" w14:textId="7FE55956" w:rsidR="00803B89" w:rsidRDefault="00E458C1" w:rsidP="1D3A805F">
      <w:pPr>
        <w:spacing w:line="257" w:lineRule="auto"/>
      </w:pPr>
      <w:r w:rsidRPr="1D3A805F">
        <w:rPr>
          <w:rFonts w:ascii="Calibri" w:eastAsia="Calibri" w:hAnsi="Calibri" w:cs="Calibri"/>
          <w:color w:val="333333"/>
        </w:rPr>
        <w:t xml:space="preserve">The relative higher importance of </w:t>
      </w:r>
      <w:r w:rsidRPr="1D3A805F">
        <w:rPr>
          <w:rFonts w:ascii="Calibri" w:eastAsia="Calibri" w:hAnsi="Calibri" w:cs="Calibri"/>
        </w:rPr>
        <w:t xml:space="preserve">corticocortical neurons can be gestured towards by calculating the global </w:t>
      </w:r>
      <w:r w:rsidR="00ED5F4B" w:rsidRPr="1D3A805F">
        <w:rPr>
          <w:rFonts w:ascii="Calibri" w:eastAsia="Calibri" w:hAnsi="Calibri" w:cs="Calibri"/>
        </w:rPr>
        <w:t xml:space="preserve">maximum </w:t>
      </w:r>
      <w:r w:rsidRPr="1D3A805F">
        <w:rPr>
          <w:rFonts w:ascii="Calibri" w:eastAsia="Calibri" w:hAnsi="Calibri" w:cs="Calibri"/>
        </w:rPr>
        <w:t>connection count</w:t>
      </w:r>
      <w:r w:rsidR="00ED5F4B" w:rsidRPr="1D3A805F">
        <w:rPr>
          <w:rFonts w:ascii="Calibri" w:eastAsia="Calibri" w:hAnsi="Calibri" w:cs="Calibri"/>
        </w:rPr>
        <w:t xml:space="preserve"> for </w:t>
      </w:r>
      <w:r w:rsidR="00C83764">
        <w:rPr>
          <w:rFonts w:cstheme="minorHAnsi"/>
        </w:rPr>
        <w:t>a</w:t>
      </w:r>
      <w:r w:rsidR="00ED5F4B" w:rsidRPr="1D3A805F">
        <w:rPr>
          <w:rFonts w:ascii="Calibri" w:eastAsia="Calibri" w:hAnsi="Calibri" w:cs="Calibri"/>
        </w:rPr>
        <w:t xml:space="preserve"> set</w:t>
      </w:r>
      <w:r w:rsidR="00C83764">
        <w:rPr>
          <w:rFonts w:cstheme="minorHAnsi"/>
        </w:rPr>
        <w:t xml:space="preserve"> given those relationships</w:t>
      </w:r>
      <w:r w:rsidRPr="1D3A805F">
        <w:rPr>
          <w:rFonts w:ascii="Calibri" w:eastAsia="Calibri" w:hAnsi="Calibri" w:cs="Calibri"/>
        </w:rPr>
        <w:t>, which is all the neurons of A, times all the neurons of B, times all the neurons of C, times all the neurons of D.</w:t>
      </w:r>
      <w:r w:rsidR="00803B89">
        <w:rPr>
          <w:rFonts w:cstheme="minorHAnsi"/>
        </w:rPr>
        <w:t xml:space="preserve"> Learning to use both hands equally can increase the CC by as much as 10%</w:t>
      </w:r>
      <w:r w:rsidR="0025021B">
        <w:rPr>
          <w:rFonts w:cstheme="minorHAnsi"/>
          <w:vertAlign w:val="superscript"/>
        </w:rPr>
        <w:t>3</w:t>
      </w:r>
      <w:r w:rsidR="00F47230">
        <w:rPr>
          <w:rFonts w:cstheme="minorHAnsi"/>
        </w:rPr>
        <w:t>, effectively raising throughput</w:t>
      </w:r>
      <w:r w:rsidR="0025021B">
        <w:rPr>
          <w:rFonts w:cstheme="minorHAnsi"/>
        </w:rPr>
        <w:t xml:space="preserve"> across a bottleneck</w:t>
      </w:r>
      <w:r w:rsidR="00F47230">
        <w:rPr>
          <w:rFonts w:cstheme="minorHAnsi"/>
        </w:rPr>
        <w:t>.</w:t>
      </w:r>
      <w:r w:rsidR="0025021B">
        <w:rPr>
          <w:rFonts w:cstheme="minorHAnsi"/>
        </w:rPr>
        <w:t xml:space="preserve"> </w:t>
      </w:r>
      <w:r w:rsidR="0025021B" w:rsidRPr="50B04F17">
        <w:t>This is why putting the effort in to learn to engage fine motor skills and linguistics with both hands is valuable for time spent doing so</w:t>
      </w:r>
      <w:r w:rsidR="0025021B">
        <w:t>.</w:t>
      </w:r>
    </w:p>
    <w:p w14:paraId="3B2EFB0E" w14:textId="1C212B86" w:rsidR="50B04F17" w:rsidRDefault="50B04F17" w:rsidP="7E97C0AD">
      <w:pPr>
        <w:spacing w:line="257" w:lineRule="auto"/>
        <w:rPr>
          <w:rFonts w:ascii="Calibri" w:eastAsia="Calibri" w:hAnsi="Calibri" w:cs="Calibri"/>
        </w:rPr>
      </w:pPr>
      <w:r w:rsidRPr="7E97C0AD">
        <w:rPr>
          <w:rFonts w:ascii="Calibri" w:eastAsia="Calibri" w:hAnsi="Calibri" w:cs="Calibri"/>
        </w:rPr>
        <w:t>Granted, these proportions and relationships are rudimentary and need to be completely refitted and scaled, but the general idea is that although a 10% increase from B1 and C1 (10 to 11) represents the same global increase as a 10% increase in A2 and D2 (50 to 55), the proportional growth is less in terms of neurons</w:t>
      </w:r>
      <w:r w:rsidR="00C83764">
        <w:t xml:space="preserve"> by count</w:t>
      </w:r>
      <w:r w:rsidRPr="7E97C0AD">
        <w:rPr>
          <w:rFonts w:ascii="Calibri" w:eastAsia="Calibri" w:hAnsi="Calibri" w:cs="Calibri"/>
        </w:rPr>
        <w:t xml:space="preserve"> it took to make the increase, which means higher return for cost of growth</w:t>
      </w:r>
      <w:r w:rsidR="00F47230">
        <w:t>, theoretically</w:t>
      </w:r>
      <w:r w:rsidRPr="50B04F17">
        <w:t xml:space="preserve">. </w:t>
      </w:r>
      <w:r w:rsidR="1D3A805F">
        <w:br/>
      </w:r>
    </w:p>
    <w:p w14:paraId="4FB0A81F" w14:textId="5000DFB2" w:rsidR="1D3A805F" w:rsidRDefault="1D3A805F" w:rsidP="7E97C0AD">
      <w:pPr>
        <w:spacing w:line="257" w:lineRule="auto"/>
      </w:pPr>
      <w:r>
        <w:br w:type="page"/>
      </w:r>
    </w:p>
    <w:p w14:paraId="0A538F23" w14:textId="4A2494CD" w:rsidR="1D3A805F" w:rsidRDefault="1D3A805F" w:rsidP="7E97C0AD">
      <w:pPr>
        <w:spacing w:line="257" w:lineRule="auto"/>
        <w:rPr>
          <w:rFonts w:ascii="Calibri" w:eastAsia="Calibri" w:hAnsi="Calibri" w:cs="Calibri"/>
        </w:rPr>
      </w:pPr>
    </w:p>
    <w:p w14:paraId="7847B1C5" w14:textId="631859CD" w:rsidR="1D3A805F" w:rsidRDefault="1D3A805F" w:rsidP="7E97C0AD">
      <w:pPr>
        <w:spacing w:line="257" w:lineRule="auto"/>
      </w:pPr>
      <w:r>
        <w:rPr>
          <w:noProof/>
        </w:rPr>
        <w:drawing>
          <wp:inline distT="0" distB="0" distL="0" distR="0" wp14:anchorId="21F47D6F" wp14:editId="6D02BC8B">
            <wp:extent cx="5732662" cy="5422143"/>
            <wp:effectExtent l="0" t="0" r="0" b="0"/>
            <wp:docPr id="540770674" name="Picture 54077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62" cy="54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5082" w14:textId="1F7E185B" w:rsidR="1D3A805F" w:rsidRDefault="7E97C0AD" w:rsidP="00DD7DD4">
      <w:r>
        <w:br w:type="page"/>
      </w:r>
      <w:r w:rsidR="00DD7DD4">
        <w:lastRenderedPageBreak/>
        <w:br/>
      </w:r>
    </w:p>
    <w:p w14:paraId="6D1888F7" w14:textId="66BE89B3" w:rsidR="1D3A805F" w:rsidRDefault="00C14C84" w:rsidP="1D3A805F">
      <w:pPr>
        <w:pStyle w:val="ListParagraph"/>
        <w:numPr>
          <w:ilvl w:val="0"/>
          <w:numId w:val="3"/>
        </w:numPr>
        <w:rPr>
          <w:rFonts w:eastAsiaTheme="minorEastAsia"/>
          <w:color w:val="0000FF"/>
        </w:rPr>
      </w:pPr>
      <w:hyperlink r:id="rId9">
        <w:r w:rsidR="1D3A805F" w:rsidRPr="1D3A805F">
          <w:rPr>
            <w:rStyle w:val="Hyperlink"/>
            <w:rFonts w:ascii="Calibri" w:eastAsia="Calibri" w:hAnsi="Calibri" w:cs="Calibri"/>
          </w:rPr>
          <w:t>https://en.wikipedia.org/wiki/Corpus_callosum</w:t>
        </w:r>
      </w:hyperlink>
      <w:r w:rsidR="1D3A805F" w:rsidRPr="1D3A805F">
        <w:rPr>
          <w:rFonts w:ascii="Calibri" w:eastAsia="Calibri" w:hAnsi="Calibri" w:cs="Calibri"/>
        </w:rPr>
        <w:t xml:space="preserve"> </w:t>
      </w:r>
    </w:p>
    <w:p w14:paraId="43DF7F7A" w14:textId="1A6CDBC5" w:rsidR="1D3A805F" w:rsidRDefault="00C14C84" w:rsidP="1D3A805F">
      <w:pPr>
        <w:pStyle w:val="ListParagraph"/>
        <w:numPr>
          <w:ilvl w:val="0"/>
          <w:numId w:val="3"/>
        </w:numPr>
        <w:rPr>
          <w:rFonts w:eastAsiaTheme="minorEastAsia"/>
          <w:color w:val="0000FF"/>
        </w:rPr>
      </w:pPr>
      <w:hyperlink r:id="rId10">
        <w:r w:rsidR="1D3A805F" w:rsidRPr="1D3A805F">
          <w:rPr>
            <w:rStyle w:val="Hyperlink"/>
            <w:rFonts w:ascii="Calibri" w:eastAsia="Calibri" w:hAnsi="Calibri" w:cs="Calibri"/>
          </w:rPr>
          <w:t>https://www.ncbi.nlm.nih.gov/pmc/articles/PMC2776484/</w:t>
        </w:r>
      </w:hyperlink>
    </w:p>
    <w:p w14:paraId="491D8152" w14:textId="2829EC4E" w:rsidR="00206C48" w:rsidRPr="00DD7DD4" w:rsidRDefault="00C14C84" w:rsidP="00DD7DD4">
      <w:pPr>
        <w:pStyle w:val="ListParagraph"/>
        <w:numPr>
          <w:ilvl w:val="0"/>
          <w:numId w:val="3"/>
        </w:numPr>
        <w:rPr>
          <w:rFonts w:eastAsiaTheme="minorEastAsia"/>
          <w:color w:val="0000FF"/>
        </w:rPr>
      </w:pPr>
      <w:hyperlink r:id="rId11">
        <w:r w:rsidR="1D3A805F" w:rsidRPr="1D3A805F">
          <w:rPr>
            <w:rStyle w:val="Hyperlink"/>
            <w:rFonts w:ascii="Calibri" w:eastAsia="Calibri" w:hAnsi="Calibri" w:cs="Calibri"/>
          </w:rPr>
          <w:t>https://pubmed.ncbi.nlm.nih.gov/4023705/</w:t>
        </w:r>
      </w:hyperlink>
    </w:p>
    <w:sectPr w:rsidR="00206C48" w:rsidRPr="00DD7DD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319C1" w14:textId="77777777" w:rsidR="00731AA9" w:rsidRDefault="00731AA9" w:rsidP="003003BB">
      <w:pPr>
        <w:spacing w:after="0" w:line="240" w:lineRule="auto"/>
      </w:pPr>
      <w:r>
        <w:separator/>
      </w:r>
    </w:p>
  </w:endnote>
  <w:endnote w:type="continuationSeparator" w:id="0">
    <w:p w14:paraId="0E9EE82D" w14:textId="77777777" w:rsidR="00731AA9" w:rsidRDefault="00731AA9" w:rsidP="003003BB">
      <w:pPr>
        <w:spacing w:after="0" w:line="240" w:lineRule="auto"/>
      </w:pPr>
      <w:r>
        <w:continuationSeparator/>
      </w:r>
    </w:p>
  </w:endnote>
  <w:endnote w:type="continuationNotice" w:id="1">
    <w:p w14:paraId="386D810F" w14:textId="77777777" w:rsidR="00731AA9" w:rsidRDefault="00731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2177B" w14:textId="77777777" w:rsidR="00731AA9" w:rsidRDefault="00731AA9" w:rsidP="003003BB">
      <w:pPr>
        <w:spacing w:after="0" w:line="240" w:lineRule="auto"/>
      </w:pPr>
      <w:r>
        <w:separator/>
      </w:r>
    </w:p>
  </w:footnote>
  <w:footnote w:type="continuationSeparator" w:id="0">
    <w:p w14:paraId="0610E56E" w14:textId="77777777" w:rsidR="00731AA9" w:rsidRDefault="00731AA9" w:rsidP="003003BB">
      <w:pPr>
        <w:spacing w:after="0" w:line="240" w:lineRule="auto"/>
      </w:pPr>
      <w:r>
        <w:continuationSeparator/>
      </w:r>
    </w:p>
  </w:footnote>
  <w:footnote w:type="continuationNotice" w:id="1">
    <w:p w14:paraId="61B012BA" w14:textId="77777777" w:rsidR="00731AA9" w:rsidRDefault="00731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D65C4" w14:textId="77777777" w:rsidR="00B90E87" w:rsidRDefault="00270FFE" w:rsidP="00B90E87">
    <w:pPr>
      <w:pStyle w:val="Header"/>
      <w:jc w:val="right"/>
    </w:pPr>
    <w:r>
      <w:t>Neuresthetics</w:t>
    </w:r>
  </w:p>
  <w:p w14:paraId="43F6004C" w14:textId="77777777" w:rsidR="00B920DA" w:rsidRDefault="00270FFE" w:rsidP="00C64249">
    <w:pPr>
      <w:pStyle w:val="Header"/>
      <w:jc w:val="right"/>
    </w:pPr>
    <w:r>
      <w:t>Jason T Burns</w:t>
    </w:r>
  </w:p>
  <w:p w14:paraId="4F763342" w14:textId="3DE48015" w:rsidR="00D5297D" w:rsidRDefault="00270FFE" w:rsidP="00C64249">
    <w:pPr>
      <w:pStyle w:val="Header"/>
      <w:jc w:val="right"/>
    </w:pPr>
    <w:r>
      <w:t>2</w:t>
    </w:r>
    <w:r w:rsidR="003003BB">
      <w:t>2</w:t>
    </w:r>
    <w:r>
      <w:t>MAY2020</w:t>
    </w:r>
  </w:p>
  <w:p w14:paraId="0499480B" w14:textId="77777777" w:rsidR="00556C72" w:rsidRDefault="00C14C84" w:rsidP="00C642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A5503"/>
    <w:multiLevelType w:val="hybridMultilevel"/>
    <w:tmpl w:val="5A86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00E74"/>
    <w:multiLevelType w:val="hybridMultilevel"/>
    <w:tmpl w:val="4E0A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32E66"/>
    <w:multiLevelType w:val="hybridMultilevel"/>
    <w:tmpl w:val="9ADEB2F8"/>
    <w:lvl w:ilvl="0" w:tplc="49DA87AA">
      <w:start w:val="1"/>
      <w:numFmt w:val="decimal"/>
      <w:lvlText w:val="%1."/>
      <w:lvlJc w:val="left"/>
      <w:pPr>
        <w:ind w:left="720" w:hanging="360"/>
      </w:pPr>
    </w:lvl>
    <w:lvl w:ilvl="1" w:tplc="E7262A66">
      <w:start w:val="1"/>
      <w:numFmt w:val="lowerLetter"/>
      <w:lvlText w:val="%2."/>
      <w:lvlJc w:val="left"/>
      <w:pPr>
        <w:ind w:left="1440" w:hanging="360"/>
      </w:pPr>
    </w:lvl>
    <w:lvl w:ilvl="2" w:tplc="028888D0">
      <w:start w:val="1"/>
      <w:numFmt w:val="lowerRoman"/>
      <w:lvlText w:val="%3."/>
      <w:lvlJc w:val="right"/>
      <w:pPr>
        <w:ind w:left="2160" w:hanging="180"/>
      </w:pPr>
    </w:lvl>
    <w:lvl w:ilvl="3" w:tplc="026E76CE">
      <w:start w:val="1"/>
      <w:numFmt w:val="decimal"/>
      <w:lvlText w:val="%4."/>
      <w:lvlJc w:val="left"/>
      <w:pPr>
        <w:ind w:left="2880" w:hanging="360"/>
      </w:pPr>
    </w:lvl>
    <w:lvl w:ilvl="4" w:tplc="1FBCFAAA">
      <w:start w:val="1"/>
      <w:numFmt w:val="lowerLetter"/>
      <w:lvlText w:val="%5."/>
      <w:lvlJc w:val="left"/>
      <w:pPr>
        <w:ind w:left="3600" w:hanging="360"/>
      </w:pPr>
    </w:lvl>
    <w:lvl w:ilvl="5" w:tplc="E250B14A">
      <w:start w:val="1"/>
      <w:numFmt w:val="lowerRoman"/>
      <w:lvlText w:val="%6."/>
      <w:lvlJc w:val="right"/>
      <w:pPr>
        <w:ind w:left="4320" w:hanging="180"/>
      </w:pPr>
    </w:lvl>
    <w:lvl w:ilvl="6" w:tplc="D16A531C">
      <w:start w:val="1"/>
      <w:numFmt w:val="decimal"/>
      <w:lvlText w:val="%7."/>
      <w:lvlJc w:val="left"/>
      <w:pPr>
        <w:ind w:left="5040" w:hanging="360"/>
      </w:pPr>
    </w:lvl>
    <w:lvl w:ilvl="7" w:tplc="B0762AB6">
      <w:start w:val="1"/>
      <w:numFmt w:val="lowerLetter"/>
      <w:lvlText w:val="%8."/>
      <w:lvlJc w:val="left"/>
      <w:pPr>
        <w:ind w:left="5760" w:hanging="360"/>
      </w:pPr>
    </w:lvl>
    <w:lvl w:ilvl="8" w:tplc="03B8E9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206C48"/>
    <w:rsid w:val="0025021B"/>
    <w:rsid w:val="00253942"/>
    <w:rsid w:val="00270FFE"/>
    <w:rsid w:val="00282618"/>
    <w:rsid w:val="003003BB"/>
    <w:rsid w:val="0046036D"/>
    <w:rsid w:val="004B7A5F"/>
    <w:rsid w:val="006B5750"/>
    <w:rsid w:val="00731AA9"/>
    <w:rsid w:val="00763B26"/>
    <w:rsid w:val="00803B89"/>
    <w:rsid w:val="008169C7"/>
    <w:rsid w:val="008537E2"/>
    <w:rsid w:val="008B3C61"/>
    <w:rsid w:val="008D63BC"/>
    <w:rsid w:val="00956F4F"/>
    <w:rsid w:val="00A26B91"/>
    <w:rsid w:val="00C14C84"/>
    <w:rsid w:val="00C83764"/>
    <w:rsid w:val="00CB2FF7"/>
    <w:rsid w:val="00CC1544"/>
    <w:rsid w:val="00D75D13"/>
    <w:rsid w:val="00DD7DD4"/>
    <w:rsid w:val="00E458C1"/>
    <w:rsid w:val="00ED5F4B"/>
    <w:rsid w:val="00F47230"/>
    <w:rsid w:val="1D3A805F"/>
    <w:rsid w:val="50B04F17"/>
    <w:rsid w:val="7E97C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652A"/>
  <w15:chartTrackingRefBased/>
  <w15:docId w15:val="{47B5459B-7B23-4646-8F1B-F96F7D50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48"/>
  </w:style>
  <w:style w:type="character" w:styleId="Hyperlink">
    <w:name w:val="Hyperlink"/>
    <w:basedOn w:val="DefaultParagraphFont"/>
    <w:uiPriority w:val="99"/>
    <w:unhideWhenUsed/>
    <w:rsid w:val="008169C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BB"/>
  </w:style>
  <w:style w:type="paragraph" w:styleId="ListParagraph">
    <w:name w:val="List Paragraph"/>
    <w:basedOn w:val="Normal"/>
    <w:uiPriority w:val="34"/>
    <w:qFormat/>
    <w:rsid w:val="008B3C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402370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cbi.nlm.nih.gov/pmc/articles/PMC27764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rpus_callos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26</cp:revision>
  <dcterms:created xsi:type="dcterms:W3CDTF">2020-05-22T04:03:00Z</dcterms:created>
  <dcterms:modified xsi:type="dcterms:W3CDTF">2020-05-24T14:30:00Z</dcterms:modified>
</cp:coreProperties>
</file>