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3B7DD8" w:sz="8" w:space="8"/>
        </w:pBdr>
        <w:spacing w:after="100"/>
        <w:jc w:val="left"/>
      </w:pPr>
      <w:r>
        <w:rPr>
          <w:rFonts w:ascii="Arial" w:cs="Arial" w:eastAsia="Arial" w:hAnsi="Arial"/>
          <w:b/>
          <w:bCs/>
          <w:color w:val="1B2A4A"/>
          <w:sz w:val="56"/>
          <w:szCs w:val="56"/>
        </w:rPr>
        <w:t xml:space="preserve">Agentic Systems</w:t>
      </w:r>
    </w:p>
    <w:p>
      <w:pPr>
        <w:spacing w:after="80"/>
        <w:jc w:val="left"/>
      </w:pPr>
      <w:r>
        <w:rPr>
          <w:rFonts w:ascii="Arial" w:cs="Arial" w:eastAsia="Arial" w:hAnsi="Arial"/>
          <w:b/>
          <w:bCs/>
          <w:color w:val="1B2A4A"/>
          <w:sz w:val="56"/>
          <w:szCs w:val="56"/>
        </w:rPr>
        <w:t xml:space="preserve">Consultancy</w:t>
      </w:r>
    </w:p>
    <w:p>
      <w:pPr>
        <w:spacing w:after="200"/>
      </w:pPr>
    </w:p>
    <w:p>
      <w:pPr>
        <w:spacing w:after="60"/>
        <w:jc w:val="left"/>
      </w:pPr>
      <w:r>
        <w:rPr>
          <w:rFonts w:ascii="Arial" w:cs="Arial" w:eastAsia="Arial" w:hAnsi="Arial"/>
          <w:i/>
          <w:iCs/>
          <w:color w:val="3B7DD8"/>
          <w:sz w:val="28"/>
          <w:szCs w:val="28"/>
        </w:rPr>
        <w:t xml:space="preserve">Business Strategy &amp; Positioning Framework</w:t>
      </w:r>
    </w:p>
    <w:p>
      <w:pPr>
        <w:spacing w:after="100"/>
      </w:pPr>
    </w:p>
    <w:p>
      <w:pPr>
        <w:spacing w:after="200" w:line="276"/>
      </w:pPr>
      <w:r>
        <w:rPr>
          <w:rFonts w:ascii="Arial" w:cs="Arial" w:eastAsia="Arial" w:hAnsi="Arial"/>
          <w:color w:val="333333"/>
          <w:sz w:val="22"/>
          <w:szCs w:val="22"/>
        </w:rPr>
        <w:t xml:space="preserve">A comprehensive strategic framework for building a boutique consultancy that helps organizations design, architect, and operationalize agentic AI systems with architectural rigor and lasting competitive advantage.</w:t>
      </w:r>
    </w:p>
    <w:p>
      <w:pPr>
        <w:spacing w:after="1200"/>
      </w:pPr>
    </w:p>
    <w:p>
      <w:pPr>
        <w:jc w:val="left"/>
      </w:pPr>
      <w:r>
        <w:rPr>
          <w:rFonts w:ascii="Arial" w:cs="Arial" w:eastAsia="Arial" w:hAnsi="Arial"/>
          <w:color w:val="666666"/>
          <w:sz w:val="20"/>
          <w:szCs w:val="20"/>
        </w:rPr>
        <w:t xml:space="preserve">CONFIDENTIAL  |  March 2026  |  Strategy Document v1.0</w:t>
      </w:r>
    </w:p>
    <w:p>
      <w:pPr>
        <w:sectPr>
          <w:pgSz w:w="12240" w:h="15840" w:orient="portrait"/>
          <w:pgMar w:top="1440" w:right="1440" w:bottom="1440" w:left="1440" w:header="708" w:footer="708" w:gutter="0"/>
          <w:pgNumType/>
          <w:docGrid w:linePitch="360"/>
        </w:sectPr>
      </w:pPr>
    </w:p>
    <w:p>
      <w:pPr>
        <w:pStyle w:val="Heading1"/>
      </w:pPr>
      <w:r>
        <w:t xml:space="preserve">1. The Core Thesis</w:t>
      </w:r>
    </w:p>
    <w:p>
      <w:pPr>
        <w:pBdr>
          <w:bottom w:val="single" w:color="3B7DD8" w:sz="4" w:space="1"/>
        </w:pBdr>
        <w:spacing w:before="300" w:after="300"/>
      </w:pPr>
    </w:p>
    <w:p>
      <w:pPr>
        <w:pStyle w:val="Heading2"/>
      </w:pPr>
      <w:r>
        <w:t xml:space="preserve">The Market Misconception</w:t>
      </w:r>
    </w:p>
    <w:p>
      <w:pPr>
        <w:spacing w:after="200" w:line="276"/>
      </w:pPr>
      <w:r>
        <w:rPr>
          <w:rFonts w:ascii="Arial" w:cs="Arial" w:eastAsia="Arial" w:hAnsi="Arial"/>
          <w:color w:val="333333"/>
          <w:sz w:val="22"/>
          <w:szCs w:val="22"/>
        </w:rPr>
        <w:t xml:space="preserve">The enterprise market overwhelmingly believes that building agentic systems is primarily a model selection and prompt engineering problem. Companies are hiring ML engineers to fine-tune models and data scientists to build RAG pipelines, while the actual bottleneck to production-grade agentic systems lies elsewhere entirely.</w:t>
      </w:r>
    </w:p>
    <w:p>
      <w:pPr>
        <w:spacing w:after="200" w:line="276"/>
      </w:pPr>
      <w:r>
        <w:rPr>
          <w:rFonts w:ascii="Arial" w:cs="Arial" w:eastAsia="Arial" w:hAnsi="Arial"/>
          <w:color w:val="333333"/>
          <w:sz w:val="22"/>
          <w:szCs w:val="22"/>
        </w:rPr>
        <w:t xml:space="preserve">The bottleneck is architectural: how you design the harness, how you engineer context, how you structure governance, how you separate intent from execution, and how you redesign organizational workflows around agent-human collaboration loops. These are systems design problems, not ML problems.</w:t>
      </w:r>
    </w:p>
    <w:p>
      <w:pPr>
        <w:pStyle w:val="Heading2"/>
      </w:pPr>
      <w:r>
        <w:t xml:space="preserve">Our Foundational Insight</w:t>
      </w:r>
    </w:p>
    <w:p>
      <w:pPr>
        <w:spacing w:after="200" w:line="276"/>
      </w:pPr>
      <w:r>
        <w:rPr>
          <w:rFonts w:ascii="Arial" w:cs="Arial" w:eastAsia="Arial" w:hAnsi="Arial"/>
          <w:color w:val="333333"/>
          <w:sz w:val="22"/>
          <w:szCs w:val="22"/>
        </w:rPr>
        <w:t xml:space="preserve">The orchestration layer is where the reliability lives. You can have the most capable model on earth and still produce garbage outputs if you do not have the scaffolding to constrain, verify, and route that capability through a specific professional workflow. At a certain level of model capability, the hard part of getting an AI system to do work reliably is never the model. It is the orchestration: figuring out exactly when to trust the model and when to check its work, what data to feed it and in what order, how to format outputs so they are usable by people in specific roles at specific firms.</w:t>
      </w:r>
    </w:p>
    <w:p>
      <w:pPr>
        <w:spacing w:after="200" w:line="276"/>
      </w:pPr>
      <w:r>
        <w:rPr>
          <w:rFonts w:ascii="Arial" w:cs="Arial" w:eastAsia="Arial" w:hAnsi="Arial"/>
          <w:color w:val="333333"/>
          <w:sz w:val="22"/>
          <w:szCs w:val="22"/>
        </w:rPr>
        <w:t xml:space="preserve">This insight, drawn from the vertical software thesis and validated across every successful agentic deployment pattern we have studied, is the foundation of everything we do.</w:t>
      </w:r>
    </w:p>
    <w:p>
      <w:r>
        <w:br/>
      </w:r>
    </w:p>
    <w:p>
      <w:pPr>
        <w:pStyle w:val="Heading1"/>
      </w:pPr>
      <w:r>
        <w:t xml:space="preserve">2. Positioning &amp; Identity</w:t>
      </w:r>
    </w:p>
    <w:p>
      <w:pPr>
        <w:pBdr>
          <w:bottom w:val="single" w:color="3B7DD8" w:sz="4" w:space="1"/>
        </w:pBdr>
        <w:spacing w:before="300" w:after="300"/>
      </w:pPr>
    </w:p>
    <w:p>
      <w:pPr>
        <w:pStyle w:val="Heading2"/>
      </w:pPr>
      <w:r>
        <w:t xml:space="preserve">Proposed Name Concept</w:t>
      </w:r>
    </w:p>
    <w:p>
      <w:pPr>
        <w:spacing w:after="200" w:line="276"/>
      </w:pPr>
      <w:r>
        <w:rPr>
          <w:rFonts w:ascii="Arial" w:cs="Arial" w:eastAsia="Arial" w:hAnsi="Arial"/>
          <w:color w:val="333333"/>
          <w:sz w:val="22"/>
          <w:szCs w:val="22"/>
        </w:rPr>
        <w:t xml:space="preserve">Harness (or Harness Advisory, Harness Engineering, etc.)</w:t>
      </w:r>
    </w:p>
    <w:p>
      <w:pPr>
        <w:spacing w:after="200" w:line="276"/>
      </w:pPr>
      <w:r>
        <w:rPr>
          <w:rFonts w:ascii="Arial" w:cs="Arial" w:eastAsia="Arial" w:hAnsi="Arial"/>
          <w:color w:val="333333"/>
          <w:sz w:val="22"/>
          <w:szCs w:val="22"/>
        </w:rPr>
        <w:t xml:space="preserve">The word harness captures the core of our thesis: the harness is the primary engineering artifact in agentic systems, not the agent code itself. Harness engineering is an emerging discipline recognized by Anthropic, OpenAI, and the broader engineering community as the critical capability gap. Owning this word positions us at the center of the conversation.</w:t>
      </w:r>
    </w:p>
    <w:p>
      <w:pPr>
        <w:pStyle w:val="Heading2"/>
      </w:pPr>
      <w:r>
        <w:t xml:space="preserve">Tagline Options</w:t>
      </w:r>
    </w:p>
    <w:p>
      <w:pPr>
        <w:pStyle w:val="ListParagraph"/>
        <w:numPr>
          <w:ilvl w:val="0"/>
          <w:numId w:val="2"/>
        </w:numPr>
        <w:spacing w:after="120" w:line="276"/>
      </w:pPr>
      <w:r>
        <w:rPr>
          <w:rFonts w:ascii="Arial" w:cs="Arial" w:eastAsia="Arial" w:hAnsi="Arial"/>
          <w:color w:val="333333"/>
          <w:sz w:val="22"/>
          <w:szCs w:val="22"/>
        </w:rPr>
        <w:t xml:space="preserve">"We design the systems that make agents reliable."</w:t>
      </w:r>
    </w:p>
    <w:p>
      <w:pPr>
        <w:pStyle w:val="ListParagraph"/>
        <w:numPr>
          <w:ilvl w:val="0"/>
          <w:numId w:val="2"/>
        </w:numPr>
        <w:spacing w:after="120" w:line="276"/>
      </w:pPr>
      <w:r>
        <w:rPr>
          <w:rFonts w:ascii="Arial" w:cs="Arial" w:eastAsia="Arial" w:hAnsi="Arial"/>
          <w:color w:val="333333"/>
          <w:sz w:val="22"/>
          <w:szCs w:val="22"/>
        </w:rPr>
        <w:t xml:space="preserve">"Harness engineering for the agentic enterprise."</w:t>
      </w:r>
    </w:p>
    <w:p>
      <w:pPr>
        <w:pStyle w:val="ListParagraph"/>
        <w:numPr>
          <w:ilvl w:val="0"/>
          <w:numId w:val="2"/>
        </w:numPr>
        <w:spacing w:after="120" w:line="276"/>
      </w:pPr>
      <w:r>
        <w:rPr>
          <w:rFonts w:ascii="Arial" w:cs="Arial" w:eastAsia="Arial" w:hAnsi="Arial"/>
          <w:color w:val="333333"/>
          <w:sz w:val="22"/>
          <w:szCs w:val="22"/>
        </w:rPr>
        <w:t xml:space="preserve">"Where agent capability meets operational rigor."</w:t>
      </w:r>
    </w:p>
    <w:p>
      <w:pPr>
        <w:pStyle w:val="Heading2"/>
      </w:pPr>
      <w:r>
        <w:t xml:space="preserve">Category We Own</w:t>
      </w:r>
    </w:p>
    <w:p>
      <w:pPr>
        <w:spacing w:after="200" w:line="276"/>
      </w:pPr>
      <w:r>
        <w:rPr>
          <w:rFonts w:ascii="Arial" w:cs="Arial" w:eastAsia="Arial" w:hAnsi="Arial"/>
          <w:color w:val="333333"/>
          <w:sz w:val="22"/>
          <w:szCs w:val="22"/>
        </w:rPr>
        <w:t xml:space="preserve">Agentic Systems Architecture. Not AI strategy (too broad), not prompt engineering (too narrow), not ML consulting (wrong skill set). We occupy the space between the model API and production deployment: the design layer that determines whether an agentic system actually works at enterprise scale.</w:t>
      </w:r>
    </w:p>
    <w:p>
      <w:r>
        <w:br/>
      </w:r>
    </w:p>
    <w:p>
      <w:pPr>
        <w:pStyle w:val="Heading1"/>
      </w:pPr>
      <w:r>
        <w:t xml:space="preserve">3. Mission, Vision &amp; Operating Principles</w:t>
      </w:r>
    </w:p>
    <w:p>
      <w:pPr>
        <w:pBdr>
          <w:bottom w:val="single" w:color="3B7DD8" w:sz="4" w:space="1"/>
        </w:pBdr>
        <w:spacing w:before="300" w:after="300"/>
      </w:pPr>
    </w:p>
    <w:p>
      <w:pPr>
        <w:pStyle w:val="Heading2"/>
      </w:pPr>
      <w:r>
        <w:t xml:space="preserve">Mission Statement</w:t>
      </w:r>
    </w:p>
    <w:p>
      <w:pPr>
        <w:pBdr>
          <w:left w:val="single" w:color="3B7DD8" w:sz="8" w:space="8"/>
        </w:pBdr>
        <w:spacing w:after="200" w:line="276"/>
        <w:ind w:left="360" w:right="360"/>
      </w:pPr>
      <w:r>
        <w:rPr>
          <w:rFonts w:ascii="Arial" w:cs="Arial" w:eastAsia="Arial" w:hAnsi="Arial"/>
          <w:i/>
          <w:iCs/>
          <w:color w:val="1B2A4A"/>
          <w:sz w:val="24"/>
          <w:szCs w:val="24"/>
        </w:rPr>
        <w:t xml:space="preserve">We help organizations design, build, and operationalize agentic AI systems that are architecturally sound, governable, and compounding in value. We do this by applying deep systems-design expertise to the layer that matters most: the harness between human intent and machine execution.</w:t>
      </w:r>
    </w:p>
    <w:p>
      <w:pPr>
        <w:pStyle w:val="Heading2"/>
      </w:pPr>
      <w:r>
        <w:t xml:space="preserve">Vision</w:t>
      </w:r>
    </w:p>
    <w:p>
      <w:pPr>
        <w:spacing w:after="200" w:line="276"/>
      </w:pPr>
      <w:r>
        <w:rPr>
          <w:rFonts w:ascii="Arial" w:cs="Arial" w:eastAsia="Arial" w:hAnsi="Arial"/>
          <w:color w:val="333333"/>
          <w:sz w:val="22"/>
          <w:szCs w:val="22"/>
        </w:rPr>
        <w:t xml:space="preserve">To become the definitive authority on agentic systems architecture, recognized across the industry as the firm that bridges the gap between AI model capability and enterprise operational reliability. We aim to be the firm companies call when they have moved past the demo and need agents that actually work in production.</w:t>
      </w:r>
    </w:p>
    <w:p>
      <w:pPr>
        <w:pStyle w:val="Heading2"/>
      </w:pPr>
      <w:r>
        <w:t xml:space="preserve">Operating Principles</w:t>
      </w:r>
    </w:p>
    <w:p>
      <w:pPr>
        <w:spacing w:after="200" w:line="276"/>
      </w:pPr>
      <w:r>
        <w:rPr>
          <w:rFonts w:ascii="Arial" w:cs="Arial" w:eastAsia="Arial" w:hAnsi="Arial"/>
          <w:b/>
          <w:bCs/>
          <w:color w:val="333333"/>
          <w:sz w:val="22"/>
          <w:szCs w:val="22"/>
        </w:rPr>
        <w:t xml:space="preserve">1. Architectures, Not Implementations. </w:t>
      </w:r>
      <w:r>
        <w:rPr>
          <w:rFonts w:ascii="Arial" w:cs="Arial" w:eastAsia="Arial" w:hAnsi="Arial"/>
          <w:color w:val="333333"/>
          <w:sz w:val="22"/>
          <w:szCs w:val="22"/>
        </w:rPr>
        <w:t xml:space="preserve">We design systems at the level of harnesses, governance structures, and human-agent collaboration patterns. We are not a body shop. We deliver architectures that clients can implement with their own teams or with partners.</w:t>
      </w:r>
    </w:p>
    <w:p>
      <w:pPr>
        <w:spacing w:after="200" w:line="276"/>
      </w:pPr>
      <w:r>
        <w:rPr>
          <w:rFonts w:ascii="Arial" w:cs="Arial" w:eastAsia="Arial" w:hAnsi="Arial"/>
          <w:b/>
          <w:bCs/>
          <w:color w:val="333333"/>
          <w:sz w:val="22"/>
          <w:szCs w:val="22"/>
        </w:rPr>
        <w:t xml:space="preserve">2. Deterministic Edges, Probabilistic Inside. </w:t>
      </w:r>
      <w:r>
        <w:rPr>
          <w:rFonts w:ascii="Arial" w:cs="Arial" w:eastAsia="Arial" w:hAnsi="Arial"/>
          <w:color w:val="333333"/>
          <w:sz w:val="22"/>
          <w:szCs w:val="22"/>
        </w:rPr>
        <w:t xml:space="preserve">Every system we design separates the deterministic governance layer from the probabilistic reasoning layer. Evaluation is rigid. Generation can be flexible. We never ship a system where the entity generating behavior is the same entity evaluating its correctness.</w:t>
      </w:r>
    </w:p>
    <w:p>
      <w:pPr>
        <w:spacing w:after="200" w:line="276"/>
      </w:pPr>
      <w:r>
        <w:rPr>
          <w:rFonts w:ascii="Arial" w:cs="Arial" w:eastAsia="Arial" w:hAnsi="Arial"/>
          <w:b/>
          <w:bCs/>
          <w:color w:val="333333"/>
          <w:sz w:val="22"/>
          <w:szCs w:val="22"/>
        </w:rPr>
        <w:t xml:space="preserve">3. Judgment Engineering Is the Core Competency. </w:t>
      </w:r>
      <w:r>
        <w:rPr>
          <w:rFonts w:ascii="Arial" w:cs="Arial" w:eastAsia="Arial" w:hAnsi="Arial"/>
          <w:color w:val="333333"/>
          <w:sz w:val="22"/>
          <w:szCs w:val="22"/>
        </w:rPr>
        <w:t xml:space="preserve">We specialize in translating accumulated domain experience into explicit constraints, tests, and boundaries that agentic systems can operate against. This is the skill that separates production agents from demos.</w:t>
      </w:r>
    </w:p>
    <w:p>
      <w:pPr>
        <w:spacing w:after="200" w:line="276"/>
      </w:pPr>
      <w:r>
        <w:rPr>
          <w:rFonts w:ascii="Arial" w:cs="Arial" w:eastAsia="Arial" w:hAnsi="Arial"/>
          <w:b/>
          <w:bCs/>
          <w:color w:val="333333"/>
          <w:sz w:val="22"/>
          <w:szCs w:val="22"/>
        </w:rPr>
        <w:t xml:space="preserve">4. Promise-Based, Not Command-Based. </w:t>
      </w:r>
      <w:r>
        <w:rPr>
          <w:rFonts w:ascii="Arial" w:cs="Arial" w:eastAsia="Arial" w:hAnsi="Arial"/>
          <w:color w:val="333333"/>
          <w:sz w:val="22"/>
          <w:szCs w:val="22"/>
        </w:rPr>
        <w:t xml:space="preserve">We design agents as promise-makers, not command-receivers. Tools are promise advertisements. System prompts are invitations. This framing produces agents that self-repair, degrade gracefully, and compose predictably.</w:t>
      </w:r>
    </w:p>
    <w:p>
      <w:pPr>
        <w:spacing w:after="200" w:line="276"/>
      </w:pPr>
      <w:r>
        <w:rPr>
          <w:rFonts w:ascii="Arial" w:cs="Arial" w:eastAsia="Arial" w:hAnsi="Arial"/>
          <w:b/>
          <w:bCs/>
          <w:color w:val="333333"/>
          <w:sz w:val="22"/>
          <w:szCs w:val="22"/>
        </w:rPr>
        <w:t xml:space="preserve">5. Artifacts Over Advice. </w:t>
      </w:r>
      <w:r>
        <w:rPr>
          <w:rFonts w:ascii="Arial" w:cs="Arial" w:eastAsia="Arial" w:hAnsi="Arial"/>
          <w:color w:val="333333"/>
          <w:sz w:val="22"/>
          <w:szCs w:val="22"/>
        </w:rPr>
        <w:t xml:space="preserve">Every engagement produces a tangible, runnable artifact: an architecture document, a harness specification, a governance model, an evaluation suite, a reference implementation. Strategy decks are not deliverables.</w:t>
      </w:r>
    </w:p>
    <w:p>
      <w:pPr>
        <w:spacing w:after="200" w:line="276"/>
      </w:pPr>
      <w:r>
        <w:rPr>
          <w:rFonts w:ascii="Arial" w:cs="Arial" w:eastAsia="Arial" w:hAnsi="Arial"/>
          <w:b/>
          <w:bCs/>
          <w:color w:val="333333"/>
          <w:sz w:val="22"/>
          <w:szCs w:val="22"/>
        </w:rPr>
        <w:t xml:space="preserve">6. Compounding Knowledge. </w:t>
      </w:r>
      <w:r>
        <w:rPr>
          <w:rFonts w:ascii="Arial" w:cs="Arial" w:eastAsia="Arial" w:hAnsi="Arial"/>
          <w:color w:val="333333"/>
          <w:sz w:val="22"/>
          <w:szCs w:val="22"/>
        </w:rPr>
        <w:t xml:space="preserve">We systematically extract patterns across engagements, building a proprietary knowledge base of what works and what breaks in agentic systems across industries. Each client engagement makes the next one better.</w:t>
      </w:r>
    </w:p>
    <w:p>
      <w:r>
        <w:br/>
      </w:r>
    </w:p>
    <w:p>
      <w:pPr>
        <w:pStyle w:val="Heading1"/>
      </w:pPr>
      <w:r>
        <w:t xml:space="preserve">4. Service Architecture</w:t>
      </w:r>
    </w:p>
    <w:p>
      <w:pPr>
        <w:pBdr>
          <w:bottom w:val="single" w:color="3B7DD8" w:sz="4" w:space="1"/>
        </w:pBdr>
        <w:spacing w:before="300" w:after="300"/>
      </w:pPr>
    </w:p>
    <w:p>
      <w:pPr>
        <w:spacing w:after="200" w:line="276"/>
      </w:pPr>
      <w:r>
        <w:rPr>
          <w:rFonts w:ascii="Arial" w:cs="Arial" w:eastAsia="Arial" w:hAnsi="Arial"/>
          <w:color w:val="333333"/>
          <w:sz w:val="22"/>
          <w:szCs w:val="22"/>
        </w:rPr>
        <w:t xml:space="preserve">Our services are organized into three tiers that reflect the natural maturity arc of an organization adopting agentic systems. Each tier produces tangible artifacts and can be purchased independently, but they compound when combined.</w:t>
      </w:r>
    </w:p>
    <w:p>
      <w:pPr>
        <w:pStyle w:val="Heading2"/>
      </w:pPr>
      <w:r>
        <w:t xml:space="preserve">Tier 1: Assess &amp; Architect (The Foundation)</w:t>
      </w:r>
    </w:p>
    <w:p>
      <w:pPr>
        <w:spacing w:after="200" w:line="276"/>
      </w:pPr>
      <w:r>
        <w:rPr>
          <w:rFonts w:ascii="Arial" w:cs="Arial" w:eastAsia="Arial" w:hAnsi="Arial"/>
          <w:color w:val="333333"/>
          <w:sz w:val="22"/>
          <w:szCs w:val="22"/>
        </w:rPr>
        <w:t xml:space="preserve">Duration: 2-4 weeks. For organizations starting their agentic journey or stuck after initial experiments.</w:t>
      </w:r>
    </w:p>
    <w:p>
      <w:pPr>
        <w:pStyle w:val="ListParagraph"/>
        <w:numPr>
          <w:ilvl w:val="0"/>
          <w:numId w:val="2"/>
        </w:numPr>
        <w:spacing w:after="120" w:line="276"/>
      </w:pPr>
      <w:r>
        <w:rPr>
          <w:rFonts w:ascii="Arial" w:cs="Arial" w:eastAsia="Arial" w:hAnsi="Arial"/>
          <w:b/>
          <w:bCs/>
          <w:color w:val="333333"/>
          <w:sz w:val="22"/>
          <w:szCs w:val="22"/>
        </w:rPr>
        <w:t xml:space="preserve">Agentic Readiness Assessment. </w:t>
      </w:r>
      <w:r>
        <w:rPr>
          <w:rFonts w:ascii="Arial" w:cs="Arial" w:eastAsia="Arial" w:hAnsi="Arial"/>
          <w:color w:val="333333"/>
          <w:sz w:val="22"/>
          <w:szCs w:val="22"/>
        </w:rPr>
        <w:t xml:space="preserve">We audit your current workflows, infrastructure, and organizational structure to identify where agentic systems would create genuine leverage vs. where they would create expensive complexity. This is not a checkbox exercise; it is a rigorous workflow decomposition using the Dam Metaphor governance framework.</w:t>
      </w:r>
    </w:p>
    <w:p>
      <w:pPr>
        <w:pStyle w:val="ListParagraph"/>
        <w:numPr>
          <w:ilvl w:val="0"/>
          <w:numId w:val="2"/>
        </w:numPr>
        <w:spacing w:after="120" w:line="276"/>
      </w:pPr>
      <w:r>
        <w:rPr>
          <w:rFonts w:ascii="Arial" w:cs="Arial" w:eastAsia="Arial" w:hAnsi="Arial"/>
          <w:b/>
          <w:bCs/>
          <w:color w:val="333333"/>
          <w:sz w:val="22"/>
          <w:szCs w:val="22"/>
        </w:rPr>
        <w:t xml:space="preserve">Flow Zone Classification. </w:t>
      </w:r>
      <w:r>
        <w:rPr>
          <w:rFonts w:ascii="Arial" w:cs="Arial" w:eastAsia="Arial" w:hAnsi="Arial"/>
          <w:color w:val="333333"/>
          <w:sz w:val="22"/>
          <w:szCs w:val="22"/>
        </w:rPr>
        <w:t xml:space="preserve">We map your organization's operations into four autonomy tiers: Fast Lane (full agent autonomy with post-hoc logging), Controlled Flow (autonomous with periodic checkpoints), Slow Lane (human approval required), and Locked Gate (human-only, AI advisory). This becomes the governance blueprint for all downstream work.</w:t>
      </w:r>
    </w:p>
    <w:p>
      <w:pPr>
        <w:pStyle w:val="ListParagraph"/>
        <w:numPr>
          <w:ilvl w:val="0"/>
          <w:numId w:val="2"/>
        </w:numPr>
        <w:spacing w:after="120" w:line="276"/>
      </w:pPr>
      <w:r>
        <w:rPr>
          <w:rFonts w:ascii="Arial" w:cs="Arial" w:eastAsia="Arial" w:hAnsi="Arial"/>
          <w:b/>
          <w:bCs/>
          <w:color w:val="333333"/>
          <w:sz w:val="22"/>
          <w:szCs w:val="22"/>
        </w:rPr>
        <w:t xml:space="preserve">Harness Architecture Blueprint. </w:t>
      </w:r>
      <w:r>
        <w:rPr>
          <w:rFonts w:ascii="Arial" w:cs="Arial" w:eastAsia="Arial" w:hAnsi="Arial"/>
          <w:color w:val="333333"/>
          <w:sz w:val="22"/>
          <w:szCs w:val="22"/>
        </w:rPr>
        <w:t xml:space="preserve">A detailed technical architecture for the harness layer: context engineering strategy, tool design specifications, memory architecture, evaluation framework, progressive disclosure patterns, and human-in-the-loop insertion points. This is the primary deliverable and the artifact your engineering team will implement against.</w:t>
      </w:r>
    </w:p>
    <w:p>
      <w:pPr>
        <w:spacing w:after="200" w:line="276"/>
        <w:rPr>
          <w:i/>
          <w:iCs/>
          <w:color w:val="666666"/>
        </w:rPr>
      </w:pPr>
      <w:r>
        <w:rPr>
          <w:rFonts w:ascii="Arial" w:cs="Arial" w:eastAsia="Arial" w:hAnsi="Arial"/>
          <w:i/>
          <w:iCs/>
          <w:color w:val="666666"/>
          <w:sz w:val="22"/>
          <w:szCs w:val="22"/>
        </w:rPr>
        <w:t xml:space="preserve">Deliverables: Flow Zone governance model, Harness Architecture Blueprint (detailed technical document), prioritized implementation roadmap, evaluation criteria specifications.</w:t>
      </w:r>
    </w:p>
    <w:p>
      <w:pPr>
        <w:pStyle w:val="Heading2"/>
      </w:pPr>
      <w:r>
        <w:t xml:space="preserve">Tier 2: Design &amp; Build (The Implementation)</w:t>
      </w:r>
    </w:p>
    <w:p>
      <w:pPr>
        <w:spacing w:after="200" w:line="276"/>
      </w:pPr>
      <w:r>
        <w:rPr>
          <w:rFonts w:ascii="Arial" w:cs="Arial" w:eastAsia="Arial" w:hAnsi="Arial"/>
          <w:color w:val="333333"/>
          <w:sz w:val="22"/>
          <w:szCs w:val="22"/>
        </w:rPr>
        <w:t xml:space="preserve">Duration: 6-12 weeks. For organizations ready to move from architecture to production.</w:t>
      </w:r>
    </w:p>
    <w:p>
      <w:pPr>
        <w:pStyle w:val="ListParagraph"/>
        <w:numPr>
          <w:ilvl w:val="0"/>
          <w:numId w:val="2"/>
        </w:numPr>
        <w:spacing w:after="120" w:line="276"/>
      </w:pPr>
      <w:r>
        <w:rPr>
          <w:rFonts w:ascii="Arial" w:cs="Arial" w:eastAsia="Arial" w:hAnsi="Arial"/>
          <w:b/>
          <w:bCs/>
          <w:color w:val="333333"/>
          <w:sz w:val="22"/>
          <w:szCs w:val="22"/>
        </w:rPr>
        <w:t xml:space="preserve">Harness Engineering. </w:t>
      </w:r>
      <w:r>
        <w:rPr>
          <w:rFonts w:ascii="Arial" w:cs="Arial" w:eastAsia="Arial" w:hAnsi="Arial"/>
          <w:color w:val="333333"/>
          <w:sz w:val="22"/>
          <w:szCs w:val="22"/>
        </w:rPr>
        <w:t xml:space="preserve">We design and build the harness layer: the environment, tools, constraints, memory systems, skills, and evaluation infrastructure that sit between the LLM and your business processes. We follow the Design-First Collaboration method: Capabilities, Components, Interactions, Contracts, then Implementation.</w:t>
      </w:r>
    </w:p>
    <w:p>
      <w:pPr>
        <w:pStyle w:val="ListParagraph"/>
        <w:numPr>
          <w:ilvl w:val="0"/>
          <w:numId w:val="2"/>
        </w:numPr>
        <w:spacing w:after="120" w:line="276"/>
      </w:pPr>
      <w:r>
        <w:rPr>
          <w:rFonts w:ascii="Arial" w:cs="Arial" w:eastAsia="Arial" w:hAnsi="Arial"/>
          <w:b/>
          <w:bCs/>
          <w:color w:val="333333"/>
          <w:sz w:val="22"/>
          <w:szCs w:val="22"/>
        </w:rPr>
        <w:t xml:space="preserve">Agent Governance Infrastructure. </w:t>
      </w:r>
      <w:r>
        <w:rPr>
          <w:rFonts w:ascii="Arial" w:cs="Arial" w:eastAsia="Arial" w:hAnsi="Arial"/>
          <w:color w:val="333333"/>
          <w:sz w:val="22"/>
          <w:szCs w:val="22"/>
        </w:rPr>
        <w:t xml:space="preserve">We implement the six-layer governance stack: Identity and Access (who can do what, on whose behalf), Provenance Tracking (what the agent saw, used, decided, and why), Delegation Scope (enforcing boundaries on autonomous action), Output Integrity (quality, safety, compliance verification), Behavioral Monitoring (drift detection), and Audit/Reproducibility.</w:t>
      </w:r>
    </w:p>
    <w:p>
      <w:pPr>
        <w:pStyle w:val="ListParagraph"/>
        <w:numPr>
          <w:ilvl w:val="0"/>
          <w:numId w:val="2"/>
        </w:numPr>
        <w:spacing w:after="120" w:line="276"/>
      </w:pPr>
      <w:r>
        <w:rPr>
          <w:rFonts w:ascii="Arial" w:cs="Arial" w:eastAsia="Arial" w:hAnsi="Arial"/>
          <w:b/>
          <w:bCs/>
          <w:color w:val="333333"/>
          <w:sz w:val="22"/>
          <w:szCs w:val="22"/>
        </w:rPr>
        <w:t xml:space="preserve">Evaluation-First Development. </w:t>
      </w:r>
      <w:r>
        <w:rPr>
          <w:rFonts w:ascii="Arial" w:cs="Arial" w:eastAsia="Arial" w:hAnsi="Arial"/>
          <w:color w:val="333333"/>
          <w:sz w:val="22"/>
          <w:szCs w:val="22"/>
        </w:rPr>
        <w:t xml:space="preserve">Following the principle that cheap generation without strict judgment is abdication, we build the evaluation harness before the agent. Acceptance criteria come from specifications, not implementations. We use the Given-When-Then specification grammar as the interface protocol between human intent and machine generation.</w:t>
      </w:r>
    </w:p>
    <w:p>
      <w:pPr>
        <w:pStyle w:val="ListParagraph"/>
        <w:numPr>
          <w:ilvl w:val="0"/>
          <w:numId w:val="2"/>
        </w:numPr>
        <w:spacing w:after="120" w:line="276"/>
      </w:pPr>
      <w:r>
        <w:rPr>
          <w:rFonts w:ascii="Arial" w:cs="Arial" w:eastAsia="Arial" w:hAnsi="Arial"/>
          <w:b/>
          <w:bCs/>
          <w:color w:val="333333"/>
          <w:sz w:val="22"/>
          <w:szCs w:val="22"/>
        </w:rPr>
        <w:t xml:space="preserve">Adversarial Verification Layer. </w:t>
      </w:r>
      <w:r>
        <w:rPr>
          <w:rFonts w:ascii="Arial" w:cs="Arial" w:eastAsia="Arial" w:hAnsi="Arial"/>
          <w:color w:val="333333"/>
          <w:sz w:val="22"/>
          <w:szCs w:val="22"/>
        </w:rPr>
        <w:t xml:space="preserve">We architect the separation of responsibilities: one agent does the work, another verifies. They do not trust each other, and that is the point. Verification criteria come from the spec, not from the implementation.</w:t>
      </w:r>
    </w:p>
    <w:p>
      <w:pPr>
        <w:spacing w:after="200" w:line="276"/>
        <w:rPr>
          <w:i/>
          <w:iCs/>
          <w:color w:val="666666"/>
        </w:rPr>
      </w:pPr>
      <w:r>
        <w:rPr>
          <w:rFonts w:ascii="Arial" w:cs="Arial" w:eastAsia="Arial" w:hAnsi="Arial"/>
          <w:i/>
          <w:iCs/>
          <w:color w:val="666666"/>
          <w:sz w:val="22"/>
          <w:szCs w:val="22"/>
        </w:rPr>
        <w:t xml:space="preserve">Deliverables: Production-ready harness implementation, evaluation suites, governance infrastructure, adversarial verification system, operational runbooks, knowledge transfer sessions.</w:t>
      </w:r>
    </w:p>
    <w:p>
      <w:pPr>
        <w:pStyle w:val="Heading2"/>
      </w:pPr>
      <w:r>
        <w:t xml:space="preserve">Tier 3: Optimize &amp; Scale (The Flywheel)</w:t>
      </w:r>
    </w:p>
    <w:p>
      <w:pPr>
        <w:spacing w:after="200" w:line="276"/>
      </w:pPr>
      <w:r>
        <w:rPr>
          <w:rFonts w:ascii="Arial" w:cs="Arial" w:eastAsia="Arial" w:hAnsi="Arial"/>
          <w:color w:val="333333"/>
          <w:sz w:val="22"/>
          <w:szCs w:val="22"/>
        </w:rPr>
        <w:t xml:space="preserve">Duration: Ongoing retainer. For organizations with agents in production seeking continuous improvement.</w:t>
      </w:r>
    </w:p>
    <w:p>
      <w:pPr>
        <w:pStyle w:val="ListParagraph"/>
        <w:numPr>
          <w:ilvl w:val="0"/>
          <w:numId w:val="2"/>
        </w:numPr>
        <w:spacing w:after="120" w:line="276"/>
      </w:pPr>
      <w:r>
        <w:rPr>
          <w:rFonts w:ascii="Arial" w:cs="Arial" w:eastAsia="Arial" w:hAnsi="Arial"/>
          <w:b/>
          <w:bCs/>
          <w:color w:val="333333"/>
          <w:sz w:val="22"/>
          <w:szCs w:val="22"/>
        </w:rPr>
        <w:t xml:space="preserve">Flywheel Engineering. </w:t>
      </w:r>
      <w:r>
        <w:rPr>
          <w:rFonts w:ascii="Arial" w:cs="Arial" w:eastAsia="Arial" w:hAnsi="Arial"/>
          <w:color w:val="333333"/>
          <w:sz w:val="22"/>
          <w:szCs w:val="22"/>
        </w:rPr>
        <w:t xml:space="preserve">We design the self-improvement loop: agents review the results of their own work and recommend improvements to the harness. The scope includes improvements to any upstream parts of the workflow. What results is an agent harness that generates recommendations for improving itself.</w:t>
      </w:r>
    </w:p>
    <w:p>
      <w:pPr>
        <w:pStyle w:val="ListParagraph"/>
        <w:numPr>
          <w:ilvl w:val="0"/>
          <w:numId w:val="2"/>
        </w:numPr>
        <w:spacing w:after="120" w:line="276"/>
      </w:pPr>
      <w:r>
        <w:rPr>
          <w:rFonts w:ascii="Arial" w:cs="Arial" w:eastAsia="Arial" w:hAnsi="Arial"/>
          <w:b/>
          <w:bCs/>
          <w:color w:val="333333"/>
          <w:sz w:val="22"/>
          <w:szCs w:val="22"/>
        </w:rPr>
        <w:t xml:space="preserve">Ambient Agent Architecture. </w:t>
      </w:r>
      <w:r>
        <w:rPr>
          <w:rFonts w:ascii="Arial" w:cs="Arial" w:eastAsia="Arial" w:hAnsi="Arial"/>
          <w:color w:val="333333"/>
          <w:sz w:val="22"/>
          <w:szCs w:val="22"/>
        </w:rPr>
        <w:t xml:space="preserve">We design the transition from request-driven to change-driven systems: agents that do not wait for human instructions but operate continuously in the background, sensing, processing, and responding to environmental signals in real time. This includes event stream architecture, continuous perception systems, and semantic reasoning layers.</w:t>
      </w:r>
    </w:p>
    <w:p>
      <w:pPr>
        <w:pStyle w:val="ListParagraph"/>
        <w:numPr>
          <w:ilvl w:val="0"/>
          <w:numId w:val="2"/>
        </w:numPr>
        <w:spacing w:after="120" w:line="276"/>
      </w:pPr>
      <w:r>
        <w:rPr>
          <w:rFonts w:ascii="Arial" w:cs="Arial" w:eastAsia="Arial" w:hAnsi="Arial"/>
          <w:b/>
          <w:bCs/>
          <w:color w:val="333333"/>
          <w:sz w:val="22"/>
          <w:szCs w:val="22"/>
        </w:rPr>
        <w:t xml:space="preserve">Multi-Agent Orchestration. </w:t>
      </w:r>
      <w:r>
        <w:rPr>
          <w:rFonts w:ascii="Arial" w:cs="Arial" w:eastAsia="Arial" w:hAnsi="Arial"/>
          <w:color w:val="333333"/>
          <w:sz w:val="22"/>
          <w:szCs w:val="22"/>
        </w:rPr>
        <w:t xml:space="preserve">We design and optimize multi-agent systems: parallel execution patterns, subagent architectures, conflict resolution strategies (centralized orchestrator vs. promise-based negotiation), and progressive trust escalation monitoring.</w:t>
      </w:r>
    </w:p>
    <w:p>
      <w:pPr>
        <w:pStyle w:val="ListParagraph"/>
        <w:numPr>
          <w:ilvl w:val="0"/>
          <w:numId w:val="2"/>
        </w:numPr>
        <w:spacing w:after="120" w:line="276"/>
      </w:pPr>
      <w:r>
        <w:rPr>
          <w:rFonts w:ascii="Arial" w:cs="Arial" w:eastAsia="Arial" w:hAnsi="Arial"/>
          <w:b/>
          <w:bCs/>
          <w:color w:val="333333"/>
          <w:sz w:val="22"/>
          <w:szCs w:val="22"/>
        </w:rPr>
        <w:t xml:space="preserve">Organizational Redesign. </w:t>
      </w:r>
      <w:r>
        <w:rPr>
          <w:rFonts w:ascii="Arial" w:cs="Arial" w:eastAsia="Arial" w:hAnsi="Arial"/>
          <w:color w:val="333333"/>
          <w:sz w:val="22"/>
          <w:szCs w:val="22"/>
        </w:rPr>
        <w:t xml:space="preserve">We help organizations adapt their human workflows to the new reality: shifting from execution roles to specification and evaluation roles, from code review to acceptance criteria authoring, from hands-on building to dispatch-and-review workflows.</w:t>
      </w:r>
    </w:p>
    <w:p>
      <w:pPr>
        <w:spacing w:after="200" w:line="276"/>
        <w:rPr>
          <w:i/>
          <w:iCs/>
          <w:color w:val="666666"/>
        </w:rPr>
      </w:pPr>
      <w:r>
        <w:rPr>
          <w:rFonts w:ascii="Arial" w:cs="Arial" w:eastAsia="Arial" w:hAnsi="Arial"/>
          <w:i/>
          <w:iCs/>
          <w:color w:val="666666"/>
          <w:sz w:val="22"/>
          <w:szCs w:val="22"/>
        </w:rPr>
        <w:t xml:space="preserve">Deliverables: Quarterly optimization reports, flywheel architecture, ambient agent specifications, organizational change playbooks, updated governance models.</w:t>
      </w:r>
    </w:p>
    <w:p>
      <w:r>
        <w:br/>
      </w:r>
    </w:p>
    <w:p>
      <w:pPr>
        <w:pStyle w:val="Heading1"/>
      </w:pPr>
      <w:r>
        <w:t xml:space="preserve">5. Competitive Differentiation</w:t>
      </w:r>
    </w:p>
    <w:p>
      <w:pPr>
        <w:pBdr>
          <w:bottom w:val="single" w:color="3B7DD8" w:sz="4" w:space="1"/>
        </w:pBdr>
        <w:spacing w:before="300" w:after="300"/>
      </w:pPr>
    </w:p>
    <w:p>
      <w:pPr>
        <w:spacing w:after="200" w:line="276"/>
      </w:pPr>
      <w:r>
        <w:rPr>
          <w:rFonts w:ascii="Arial" w:cs="Arial" w:eastAsia="Arial" w:hAnsi="Arial"/>
          <w:color w:val="333333"/>
          <w:sz w:val="22"/>
          <w:szCs w:val="22"/>
        </w:rPr>
        <w:t xml:space="preserve">The following table maps the critical capability gaps in the market and how our positioning addresses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DIMENSION</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WHAT THE MARKET DOES</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WHAT WE DO</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color w:val="333333"/>
                <w:sz w:val="22"/>
                <w:szCs w:val="22"/>
              </w:rPr>
              <w:t xml:space="preserve">Primary Focus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Model selection, fine-tuning, prompt optimization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Harness architecture, governance, evaluation infrastructure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color w:val="333333"/>
                <w:sz w:val="22"/>
                <w:szCs w:val="22"/>
              </w:rPr>
              <w:t xml:space="preserve">Design Method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Requirements to code in one shot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Design-First: Capabilities, Components, Interactions, Contracts, then Implementation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color w:val="333333"/>
                <w:sz w:val="22"/>
                <w:szCs w:val="22"/>
              </w:rPr>
              <w:t xml:space="preserve">Evaluation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Ad hoc testing after build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Evaluation-first: deterministic edges before any generation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color w:val="333333"/>
                <w:sz w:val="22"/>
                <w:szCs w:val="22"/>
              </w:rPr>
              <w:t xml:space="preserve">Agent Philosophy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Agents as command-receivers following workflow DAGs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Agents as promise-makers with local autonomy and self-repair capability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color w:val="333333"/>
                <w:sz w:val="22"/>
                <w:szCs w:val="22"/>
              </w:rPr>
              <w:t xml:space="preserve">Governance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Binary: human-in-the-loop or not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Dynamic flow zones with progressive trust calibration across four autonomy tiers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color w:val="333333"/>
                <w:sz w:val="22"/>
                <w:szCs w:val="22"/>
              </w:rPr>
              <w:t xml:space="preserve">Org Change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Training on tools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Role transformation: from execution to specification, from code review to judgment engineering</w:t>
            </w:r>
          </w:p>
        </w:tc>
      </w:tr>
    </w:tbl>
    <w:p>
      <w:pPr>
        <w:spacing w:after="200"/>
      </w:pPr>
    </w:p>
    <w:p>
      <w:pPr>
        <w:pStyle w:val="Heading2"/>
      </w:pPr>
      <w:r>
        <w:t xml:space="preserve">The Moat</w:t>
      </w:r>
    </w:p>
    <w:p>
      <w:pPr>
        <w:spacing w:after="200" w:line="276"/>
      </w:pPr>
      <w:r>
        <w:rPr>
          <w:rFonts w:ascii="Arial" w:cs="Arial" w:eastAsia="Arial" w:hAnsi="Arial"/>
          <w:color w:val="333333"/>
          <w:sz w:val="22"/>
          <w:szCs w:val="22"/>
        </w:rPr>
        <w:t xml:space="preserve">Our competitive moat is not any single technique; it is the synthesis across patterns. We connect Promise Theory to agent tool design. We connect architectural fitness functions to agent governance. We connect BDD specification writing to AI evaluation. We connect the Dam Metaphor to organizational change management. No generalist firm and no in-house team has this cross-domain synthesis, because it requires curated study across distributed systems theory, software architecture, organizational design, and frontier agent research simultaneously.</w:t>
      </w:r>
    </w:p>
    <w:p>
      <w:pPr>
        <w:spacing w:after="200" w:line="276"/>
      </w:pPr>
      <w:r>
        <w:rPr>
          <w:rFonts w:ascii="Arial" w:cs="Arial" w:eastAsia="Arial" w:hAnsi="Arial"/>
          <w:color w:val="333333"/>
          <w:sz w:val="22"/>
          <w:szCs w:val="22"/>
        </w:rPr>
        <w:t xml:space="preserve">This synthesis compounds with each engagement. Every client deployment adds to our proprietary pattern library of what works and what breaks in specific industries and organizational contexts.</w:t>
      </w:r>
    </w:p>
    <w:p>
      <w:r>
        <w:br/>
      </w:r>
    </w:p>
    <w:p>
      <w:pPr>
        <w:pStyle w:val="Heading1"/>
      </w:pPr>
      <w:r>
        <w:t xml:space="preserve">6. Intellectual Foundations</w:t>
      </w:r>
    </w:p>
    <w:p>
      <w:pPr>
        <w:pBdr>
          <w:bottom w:val="single" w:color="3B7DD8" w:sz="4" w:space="1"/>
        </w:pBdr>
        <w:spacing w:before="300" w:after="300"/>
      </w:pPr>
    </w:p>
    <w:p>
      <w:pPr>
        <w:spacing w:after="200" w:line="276"/>
      </w:pPr>
      <w:r>
        <w:rPr>
          <w:rFonts w:ascii="Arial" w:cs="Arial" w:eastAsia="Arial" w:hAnsi="Arial"/>
          <w:color w:val="333333"/>
          <w:sz w:val="22"/>
          <w:szCs w:val="22"/>
        </w:rPr>
        <w:t xml:space="preserve">Our approach is grounded in a synthesis of established engineering disciplines applied to the new domain of agentic systems. These are the frameworks that inform every engagement:</w:t>
      </w:r>
    </w:p>
    <w:p>
      <w:pPr>
        <w:spacing w:after="200" w:line="276"/>
      </w:pPr>
      <w:r>
        <w:rPr>
          <w:rFonts w:ascii="Arial" w:cs="Arial" w:eastAsia="Arial" w:hAnsi="Arial"/>
          <w:b/>
          <w:bCs/>
          <w:color w:val="333333"/>
          <w:sz w:val="22"/>
          <w:szCs w:val="22"/>
        </w:rPr>
        <w:t xml:space="preserve">Harness Engineering (Anthropic, OpenAI). </w:t>
      </w:r>
      <w:r>
        <w:rPr>
          <w:rFonts w:ascii="Arial" w:cs="Arial" w:eastAsia="Arial" w:hAnsi="Arial"/>
          <w:color w:val="333333"/>
          <w:sz w:val="22"/>
          <w:szCs w:val="22"/>
        </w:rPr>
        <w:t xml:space="preserve">The harness is the primary engineering artifact. The environment, tools, constraints, memory, skills, and feedback loops that surround the agent determine outcomes more than the model itself. We continuously improve the quality of outcomes by continuously improving the harness.</w:t>
      </w:r>
    </w:p>
    <w:p>
      <w:pPr>
        <w:spacing w:after="200" w:line="276"/>
      </w:pPr>
      <w:r>
        <w:rPr>
          <w:rFonts w:ascii="Arial" w:cs="Arial" w:eastAsia="Arial" w:hAnsi="Arial"/>
          <w:b/>
          <w:bCs/>
          <w:color w:val="333333"/>
          <w:sz w:val="22"/>
          <w:szCs w:val="22"/>
        </w:rPr>
        <w:t xml:space="preserve">Promise Theory (Mark Burgess). </w:t>
      </w:r>
      <w:r>
        <w:rPr>
          <w:rFonts w:ascii="Arial" w:cs="Arial" w:eastAsia="Arial" w:hAnsi="Arial"/>
          <w:color w:val="333333"/>
          <w:sz w:val="22"/>
          <w:szCs w:val="22"/>
        </w:rPr>
        <w:t xml:space="preserve">Agents operate as autonomous promise-makers, not command-receivers. Promises converge toward definite outcomes from unpredictable beginnings. Commands diverge into unpredictable outcomes from definite beginnings. This is why agents self-repair where workflows fail catastrophically.</w:t>
      </w:r>
    </w:p>
    <w:p>
      <w:pPr>
        <w:spacing w:after="200" w:line="276"/>
      </w:pPr>
      <w:r>
        <w:rPr>
          <w:rFonts w:ascii="Arial" w:cs="Arial" w:eastAsia="Arial" w:hAnsi="Arial"/>
          <w:b/>
          <w:bCs/>
          <w:color w:val="333333"/>
          <w:sz w:val="22"/>
          <w:szCs w:val="22"/>
        </w:rPr>
        <w:t xml:space="preserve">Judgment Engineering (Sarah Guo, Nicieja, leaflet.pub). </w:t>
      </w:r>
      <w:r>
        <w:rPr>
          <w:rFonts w:ascii="Arial" w:cs="Arial" w:eastAsia="Arial" w:hAnsi="Arial"/>
          <w:color w:val="333333"/>
          <w:sz w:val="22"/>
          <w:szCs w:val="22"/>
        </w:rPr>
        <w:t xml:space="preserve">The work of translating accumulated experience into explicit constraints, tests, and boundaries. In the AI era, specification writing and AI evaluation converge into a single practice. The discipline of writing great specifications IS the discipline of evaluating AI output.</w:t>
      </w:r>
    </w:p>
    <w:p>
      <w:pPr>
        <w:spacing w:after="200" w:line="276"/>
      </w:pPr>
      <w:r>
        <w:rPr>
          <w:rFonts w:ascii="Arial" w:cs="Arial" w:eastAsia="Arial" w:hAnsi="Arial"/>
          <w:b/>
          <w:bCs/>
          <w:color w:val="333333"/>
          <w:sz w:val="22"/>
          <w:szCs w:val="22"/>
        </w:rPr>
        <w:t xml:space="preserve">The Dam Metaphor (Jack Clark, Anthropic). </w:t>
      </w:r>
      <w:r>
        <w:rPr>
          <w:rFonts w:ascii="Arial" w:cs="Arial" w:eastAsia="Arial" w:hAnsi="Arial"/>
          <w:color w:val="333333"/>
          <w:sz w:val="22"/>
          <w:szCs w:val="22"/>
        </w:rPr>
        <w:t xml:space="preserve">AI governance does not stop agents from working. It regulates the speed, scope, and autonomy of agent work based on risk, domain, and organizational context. Flow zones are dynamic, not static: autonomy expands and contracts based on observed performance.</w:t>
      </w:r>
    </w:p>
    <w:p>
      <w:pPr>
        <w:spacing w:after="200" w:line="276"/>
      </w:pPr>
      <w:r>
        <w:rPr>
          <w:rFonts w:ascii="Arial" w:cs="Arial" w:eastAsia="Arial" w:hAnsi="Arial"/>
          <w:b/>
          <w:bCs/>
          <w:color w:val="333333"/>
          <w:sz w:val="22"/>
          <w:szCs w:val="22"/>
        </w:rPr>
        <w:t xml:space="preserve">Design-First Collaboration (Rahul Garg). </w:t>
      </w:r>
      <w:r>
        <w:rPr>
          <w:rFonts w:ascii="Arial" w:cs="Arial" w:eastAsia="Arial" w:hAnsi="Arial"/>
          <w:color w:val="333333"/>
          <w:sz w:val="22"/>
          <w:szCs w:val="22"/>
        </w:rPr>
        <w:t xml:space="preserve">Structured design before implementation. Five levels from abstract to concrete: Capabilities, Components, Interactions, Contracts, Implementation. Each level is a checkpoint for alignment. Without this structure, the AI is not really a collaborator; it is a colleague who went off and made all the decisions alone.</w:t>
      </w:r>
    </w:p>
    <w:p>
      <w:pPr>
        <w:spacing w:after="200" w:line="276"/>
      </w:pPr>
      <w:r>
        <w:rPr>
          <w:rFonts w:ascii="Arial" w:cs="Arial" w:eastAsia="Arial" w:hAnsi="Arial"/>
          <w:b/>
          <w:bCs/>
          <w:color w:val="333333"/>
          <w:sz w:val="22"/>
          <w:szCs w:val="22"/>
        </w:rPr>
        <w:t xml:space="preserve">Architectural Fitness Functions (Ford &amp; Richards). </w:t>
      </w:r>
      <w:r>
        <w:rPr>
          <w:rFonts w:ascii="Arial" w:cs="Arial" w:eastAsia="Arial" w:hAnsi="Arial"/>
          <w:color w:val="333333"/>
          <w:sz w:val="22"/>
          <w:szCs w:val="22"/>
        </w:rPr>
        <w:t xml:space="preserve">Any mechanism that provides an objective integrity check on architectural characteristics. Applied to agent governance: linters are fitness functions, dashboards with threshold alerts are fitness functions, chaos experiments are fitness functions. The specification becomes the test.</w:t>
      </w:r>
    </w:p>
    <w:p>
      <w:pPr>
        <w:spacing w:after="200" w:line="276"/>
      </w:pPr>
      <w:r>
        <w:rPr>
          <w:rFonts w:ascii="Arial" w:cs="Arial" w:eastAsia="Arial" w:hAnsi="Arial"/>
          <w:b/>
          <w:bCs/>
          <w:color w:val="333333"/>
          <w:sz w:val="22"/>
          <w:szCs w:val="22"/>
        </w:rPr>
        <w:t xml:space="preserve">Progressive Disclosure (Thariq, Anthropic). </w:t>
      </w:r>
      <w:r>
        <w:rPr>
          <w:rFonts w:ascii="Arial" w:cs="Arial" w:eastAsia="Arial" w:hAnsi="Arial"/>
          <w:color w:val="333333"/>
          <w:sz w:val="22"/>
          <w:szCs w:val="22"/>
        </w:rPr>
        <w:t xml:space="preserve">Adding functionality without adding cognitive load. Agents incrementally discover relevant context through exploration rather than having everything front-loaded. Skill files reference other files; agents build context recursively.</w:t>
      </w:r>
    </w:p>
    <w:p>
      <w:r>
        <w:br/>
      </w:r>
    </w:p>
    <w:p>
      <w:pPr>
        <w:pStyle w:val="Heading1"/>
      </w:pPr>
      <w:r>
        <w:t xml:space="preserve">7. Engagement Model &amp; Pricing Framework</w:t>
      </w:r>
    </w:p>
    <w:p>
      <w:pPr>
        <w:pBdr>
          <w:bottom w:val="single" w:color="3B7DD8" w:sz="4" w:space="1"/>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TIER 1: ASSESS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TIER 2: BUILD</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TIER 3: SCALE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color w:val="333333"/>
                <w:sz w:val="22"/>
                <w:szCs w:val="22"/>
              </w:rPr>
              <w:t xml:space="preserve">Duration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2-4 weeks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6-12 weeks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Ongoing quarterly</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color w:val="333333"/>
                <w:sz w:val="22"/>
                <w:szCs w:val="22"/>
              </w:rPr>
              <w:t xml:space="preserve">Pricing Model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Fixed fee 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Fixed fee + milestone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Monthly retainer</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color w:val="333333"/>
                <w:sz w:val="22"/>
                <w:szCs w:val="22"/>
              </w:rPr>
              <w:t xml:space="preserve">Suggested Range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$50K-$100K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$150K-$400K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$25K-$50K/month</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color w:val="333333"/>
                <w:sz w:val="22"/>
                <w:szCs w:val="22"/>
              </w:rPr>
              <w:t xml:space="preserve">Primary Artifact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Architecture Blueprint + Governance Model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Production harness + Evaluation suite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Flywheel system + Optimization reports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rFonts w:ascii="Arial" w:cs="Arial" w:eastAsia="Arial" w:hAnsi="Arial"/>
                <w:b/>
                <w:bCs/>
                <w:color w:val="333333"/>
                <w:sz w:val="22"/>
                <w:szCs w:val="22"/>
              </w:rPr>
              <w:t xml:space="preserve">Client Profile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Exploring agentic AI, needs direction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Committed, has engineering team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Agents in production, seeking scale</w:t>
            </w:r>
          </w:p>
        </w:tc>
      </w:tr>
    </w:tbl>
    <w:p>
      <w:pPr>
        <w:spacing w:after="200"/>
      </w:pPr>
    </w:p>
    <w:p>
      <w:pPr>
        <w:pStyle w:val="Heading2"/>
      </w:pPr>
      <w:r>
        <w:t xml:space="preserve">Revenue Compounding Strategy</w:t>
      </w:r>
    </w:p>
    <w:p>
      <w:pPr>
        <w:spacing w:after="200" w:line="276"/>
      </w:pPr>
      <w:r>
        <w:rPr>
          <w:rFonts w:ascii="Arial" w:cs="Arial" w:eastAsia="Arial" w:hAnsi="Arial"/>
          <w:color w:val="333333"/>
          <w:sz w:val="22"/>
          <w:szCs w:val="22"/>
        </w:rPr>
        <w:t xml:space="preserve">The engagement model is designed so that Tier 1 naturally leads to Tier 2, and Tier 2 naturally leads to Tier 3. The Architecture Blueprint from Tier 1 defines the work for Tier 2. The production deployment from Tier 2 creates the optimization surface for Tier 3. Each tier makes the next one harder to decline because the switching cost of replacing the architectural foundation increases.</w:t>
      </w:r>
    </w:p>
    <w:p>
      <w:pPr>
        <w:spacing w:after="200" w:line="276"/>
      </w:pPr>
      <w:r>
        <w:rPr>
          <w:rFonts w:ascii="Arial" w:cs="Arial" w:eastAsia="Arial" w:hAnsi="Arial"/>
          <w:color w:val="333333"/>
          <w:sz w:val="22"/>
          <w:szCs w:val="22"/>
        </w:rPr>
        <w:t xml:space="preserve">This works because the harness is the architectural foundation, not a replaceable component. Once a company builds on a harness architecture we designed, the governance models, evaluation frameworks, and progressive disclosure patterns become load-bearing infrastructure. Changing consultants means redesigning the foundation.</w:t>
      </w:r>
    </w:p>
    <w:p>
      <w:r>
        <w:br/>
      </w:r>
    </w:p>
    <w:p>
      <w:pPr>
        <w:pStyle w:val="Heading1"/>
      </w:pPr>
      <w:r>
        <w:t xml:space="preserve">8. Go-to-Market Strategy</w:t>
      </w:r>
    </w:p>
    <w:p>
      <w:pPr>
        <w:pBdr>
          <w:bottom w:val="single" w:color="3B7DD8" w:sz="4" w:space="1"/>
        </w:pBdr>
        <w:spacing w:before="300" w:after="300"/>
      </w:pPr>
    </w:p>
    <w:p>
      <w:pPr>
        <w:pStyle w:val="Heading2"/>
      </w:pPr>
      <w:r>
        <w:t xml:space="preserve">Phase 1: Establish Authority (Months 1-3)</w:t>
      </w:r>
    </w:p>
    <w:p>
      <w:pPr>
        <w:pStyle w:val="ListParagraph"/>
        <w:numPr>
          <w:ilvl w:val="0"/>
          <w:numId w:val="2"/>
        </w:numPr>
        <w:spacing w:after="120" w:line="276"/>
      </w:pPr>
      <w:r>
        <w:rPr>
          <w:rFonts w:ascii="Arial" w:cs="Arial" w:eastAsia="Arial" w:hAnsi="Arial"/>
          <w:b/>
          <w:bCs/>
          <w:color w:val="333333"/>
          <w:sz w:val="22"/>
          <w:szCs w:val="22"/>
        </w:rPr>
        <w:t xml:space="preserve">Publish the Harness Engineering Playbook. </w:t>
      </w:r>
      <w:r>
        <w:rPr>
          <w:rFonts w:ascii="Arial" w:cs="Arial" w:eastAsia="Arial" w:hAnsi="Arial"/>
          <w:color w:val="333333"/>
          <w:sz w:val="22"/>
          <w:szCs w:val="22"/>
        </w:rPr>
        <w:t xml:space="preserve">A comprehensive, freely available guide synthesizing the key patterns from your knowledge base: harness design, governance architecture, evaluation-first development, promise-based agent design. This becomes your calling card and the canonical reference the industry cites.</w:t>
      </w:r>
    </w:p>
    <w:p>
      <w:pPr>
        <w:pStyle w:val="ListParagraph"/>
        <w:numPr>
          <w:ilvl w:val="0"/>
          <w:numId w:val="2"/>
        </w:numPr>
        <w:spacing w:after="120" w:line="276"/>
      </w:pPr>
      <w:r>
        <w:rPr>
          <w:rFonts w:ascii="Arial" w:cs="Arial" w:eastAsia="Arial" w:hAnsi="Arial"/>
          <w:b/>
          <w:bCs/>
          <w:color w:val="333333"/>
          <w:sz w:val="22"/>
          <w:szCs w:val="22"/>
        </w:rPr>
        <w:t xml:space="preserve">Case study from a design partner. </w:t>
      </w:r>
      <w:r>
        <w:rPr>
          <w:rFonts w:ascii="Arial" w:cs="Arial" w:eastAsia="Arial" w:hAnsi="Arial"/>
          <w:color w:val="333333"/>
          <w:sz w:val="22"/>
          <w:szCs w:val="22"/>
        </w:rPr>
        <w:t xml:space="preserve">Offer one Tier 1 engagement at reduced rate to a well-known company in exchange for a detailed, publishable case study. The case study should demonstrate the before/after of applying harness engineering to their specific domain.</w:t>
      </w:r>
    </w:p>
    <w:p>
      <w:pPr>
        <w:pStyle w:val="ListParagraph"/>
        <w:numPr>
          <w:ilvl w:val="0"/>
          <w:numId w:val="2"/>
        </w:numPr>
        <w:spacing w:after="120" w:line="276"/>
      </w:pPr>
      <w:r>
        <w:rPr>
          <w:rFonts w:ascii="Arial" w:cs="Arial" w:eastAsia="Arial" w:hAnsi="Arial"/>
          <w:b/>
          <w:bCs/>
          <w:color w:val="333333"/>
          <w:sz w:val="22"/>
          <w:szCs w:val="22"/>
        </w:rPr>
        <w:t xml:space="preserve">Conference presence. </w:t>
      </w:r>
      <w:r>
        <w:rPr>
          <w:rFonts w:ascii="Arial" w:cs="Arial" w:eastAsia="Arial" w:hAnsi="Arial"/>
          <w:color w:val="333333"/>
          <w:sz w:val="22"/>
          <w:szCs w:val="22"/>
        </w:rPr>
        <w:t xml:space="preserve">Target AI Engineer, Strange Loop, QCon, and platform-specific events (Anthropic Dev Day, AWS re:Invent). Speak on harness engineering, not on AI generally. Own the niche.</w:t>
      </w:r>
    </w:p>
    <w:p>
      <w:pPr>
        <w:pStyle w:val="Heading2"/>
      </w:pPr>
      <w:r>
        <w:t xml:space="preserve">Phase 2: Build Pipeline (Months 3-6)</w:t>
      </w:r>
    </w:p>
    <w:p>
      <w:pPr>
        <w:pStyle w:val="ListParagraph"/>
        <w:numPr>
          <w:ilvl w:val="0"/>
          <w:numId w:val="2"/>
        </w:numPr>
        <w:spacing w:after="120" w:line="276"/>
      </w:pPr>
      <w:r>
        <w:rPr>
          <w:rFonts w:ascii="Arial" w:cs="Arial" w:eastAsia="Arial" w:hAnsi="Arial"/>
          <w:b/>
          <w:bCs/>
          <w:color w:val="333333"/>
          <w:sz w:val="22"/>
          <w:szCs w:val="22"/>
        </w:rPr>
        <w:t xml:space="preserve">Harness Engineering Assessment as lead generation. </w:t>
      </w:r>
      <w:r>
        <w:rPr>
          <w:rFonts w:ascii="Arial" w:cs="Arial" w:eastAsia="Arial" w:hAnsi="Arial"/>
          <w:color w:val="333333"/>
          <w:sz w:val="22"/>
          <w:szCs w:val="22"/>
        </w:rPr>
        <w:t xml:space="preserve">Offer a lightweight, 1-week assessment (subset of Tier 1) at a lower price point to qualify leads and demonstrate value before the full engagement.</w:t>
      </w:r>
    </w:p>
    <w:p>
      <w:pPr>
        <w:pStyle w:val="ListParagraph"/>
        <w:numPr>
          <w:ilvl w:val="0"/>
          <w:numId w:val="2"/>
        </w:numPr>
        <w:spacing w:after="120" w:line="276"/>
      </w:pPr>
      <w:r>
        <w:rPr>
          <w:rFonts w:ascii="Arial" w:cs="Arial" w:eastAsia="Arial" w:hAnsi="Arial"/>
          <w:b/>
          <w:bCs/>
          <w:color w:val="333333"/>
          <w:sz w:val="22"/>
          <w:szCs w:val="22"/>
        </w:rPr>
        <w:t xml:space="preserve">Partner with platform vendors. </w:t>
      </w:r>
      <w:r>
        <w:rPr>
          <w:rFonts w:ascii="Arial" w:cs="Arial" w:eastAsia="Arial" w:hAnsi="Arial"/>
          <w:color w:val="333333"/>
          <w:sz w:val="22"/>
          <w:szCs w:val="22"/>
        </w:rPr>
        <w:t xml:space="preserve">Anthropic, OpenAI, LangChain, Temporal, and Cloudflare all have partner ecosystems. Position as the architectural consultancy that makes their platform deployments successful. They sell the platform; you design the harness.</w:t>
      </w:r>
    </w:p>
    <w:p>
      <w:pPr>
        <w:pStyle w:val="ListParagraph"/>
        <w:numPr>
          <w:ilvl w:val="0"/>
          <w:numId w:val="2"/>
        </w:numPr>
        <w:spacing w:after="120" w:line="276"/>
      </w:pPr>
      <w:r>
        <w:rPr>
          <w:rFonts w:ascii="Arial" w:cs="Arial" w:eastAsia="Arial" w:hAnsi="Arial"/>
          <w:b/>
          <w:bCs/>
          <w:color w:val="333333"/>
          <w:sz w:val="22"/>
          <w:szCs w:val="22"/>
        </w:rPr>
        <w:t xml:space="preserve">Content machine. </w:t>
      </w:r>
      <w:r>
        <w:rPr>
          <w:rFonts w:ascii="Arial" w:cs="Arial" w:eastAsia="Arial" w:hAnsi="Arial"/>
          <w:color w:val="333333"/>
          <w:sz w:val="22"/>
          <w:szCs w:val="22"/>
        </w:rPr>
        <w:t xml:space="preserve">Weekly deep-dive essays on specific patterns: one week on flow zone governance, the next on adversarial verification, the next on progressive disclosure. Each essay is a chapter of the emerging book and a magnet for the right clients.</w:t>
      </w:r>
    </w:p>
    <w:p>
      <w:pPr>
        <w:pStyle w:val="Heading2"/>
      </w:pPr>
      <w:r>
        <w:t xml:space="preserve">Phase 3: Scale (Months 6-12)</w:t>
      </w:r>
    </w:p>
    <w:p>
      <w:pPr>
        <w:pStyle w:val="ListParagraph"/>
        <w:numPr>
          <w:ilvl w:val="0"/>
          <w:numId w:val="2"/>
        </w:numPr>
        <w:spacing w:after="120" w:line="276"/>
      </w:pPr>
      <w:r>
        <w:rPr>
          <w:rFonts w:ascii="Arial" w:cs="Arial" w:eastAsia="Arial" w:hAnsi="Arial"/>
          <w:b/>
          <w:bCs/>
          <w:color w:val="333333"/>
          <w:sz w:val="22"/>
          <w:szCs w:val="22"/>
        </w:rPr>
        <w:t xml:space="preserve">Productize the assessment. </w:t>
      </w:r>
      <w:r>
        <w:rPr>
          <w:rFonts w:ascii="Arial" w:cs="Arial" w:eastAsia="Arial" w:hAnsi="Arial"/>
          <w:color w:val="333333"/>
          <w:sz w:val="22"/>
          <w:szCs w:val="22"/>
        </w:rPr>
        <w:t xml:space="preserve">Turn the Tier 1 Agentic Readiness Assessment into a partially automated tool: a questionnaire plus automated workflow analysis plus consultant interpretation. This lets you run 3-4x more assessments per quarter.</w:t>
      </w:r>
    </w:p>
    <w:p>
      <w:pPr>
        <w:pStyle w:val="ListParagraph"/>
        <w:numPr>
          <w:ilvl w:val="0"/>
          <w:numId w:val="2"/>
        </w:numPr>
        <w:spacing w:after="120" w:line="276"/>
      </w:pPr>
      <w:r>
        <w:rPr>
          <w:rFonts w:ascii="Arial" w:cs="Arial" w:eastAsia="Arial" w:hAnsi="Arial"/>
          <w:b/>
          <w:bCs/>
          <w:color w:val="333333"/>
          <w:sz w:val="22"/>
          <w:szCs w:val="22"/>
        </w:rPr>
        <w:t xml:space="preserve">Train certifications. </w:t>
      </w:r>
      <w:r>
        <w:rPr>
          <w:rFonts w:ascii="Arial" w:cs="Arial" w:eastAsia="Arial" w:hAnsi="Arial"/>
          <w:color w:val="333333"/>
          <w:sz w:val="22"/>
          <w:szCs w:val="22"/>
        </w:rPr>
        <w:t xml:space="preserve">Offer a Harness Engineering certification program for client engineering teams. This creates a revenue stream and an ecosystem of practitioners who know your methodology and recommend your services.</w:t>
      </w:r>
    </w:p>
    <w:p>
      <w:pPr>
        <w:pStyle w:val="ListParagraph"/>
        <w:numPr>
          <w:ilvl w:val="0"/>
          <w:numId w:val="2"/>
        </w:numPr>
        <w:spacing w:after="120" w:line="276"/>
      </w:pPr>
      <w:r>
        <w:rPr>
          <w:rFonts w:ascii="Arial" w:cs="Arial" w:eastAsia="Arial" w:hAnsi="Arial"/>
          <w:b/>
          <w:bCs/>
          <w:color w:val="333333"/>
          <w:sz w:val="22"/>
          <w:szCs w:val="22"/>
        </w:rPr>
        <w:t xml:space="preserve">Hire specialist practitioners. </w:t>
      </w:r>
      <w:r>
        <w:rPr>
          <w:rFonts w:ascii="Arial" w:cs="Arial" w:eastAsia="Arial" w:hAnsi="Arial"/>
          <w:color w:val="333333"/>
          <w:sz w:val="22"/>
          <w:szCs w:val="22"/>
        </w:rPr>
        <w:t xml:space="preserve">As demand grows, hire engineers with backgrounds in distributed systems, platform engineering, and reliability engineering rather than ML. These are the skills that matter for harness design.</w:t>
      </w:r>
    </w:p>
    <w:p>
      <w:r>
        <w:br/>
      </w:r>
    </w:p>
    <w:p>
      <w:pPr>
        <w:pStyle w:val="Heading1"/>
      </w:pPr>
      <w:r>
        <w:t xml:space="preserve">9. Risk Analysis &amp; Stress Tests</w:t>
      </w:r>
    </w:p>
    <w:p>
      <w:pPr>
        <w:pBdr>
          <w:bottom w:val="single" w:color="3B7DD8" w:sz="4" w:space="1"/>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RISK</w:t>
            </w:r>
          </w:p>
        </w:tc>
        <w:tc>
          <w:tcPr>
            <w:tcW w:type="dxa" w:w="3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WHY IT COULD BREAK US</w:t>
            </w:r>
          </w:p>
        </w:tc>
        <w:tc>
          <w:tcPr>
            <w:tcW w:type="dxa" w:w="3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333333"/>
                <w:sz w:val="22"/>
                <w:szCs w:val="22"/>
              </w:rPr>
              <w:t xml:space="preserve">Models get good enough that harnesses become trivial</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If reasoning models become reliable enough to self-govern, the governance layer shrinks in value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History suggests the opposite: better models create more deployment surface area, which increases the need for orchestration, not less. The vertical software thesis shows this empirically.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333333"/>
                <w:sz w:val="22"/>
                <w:szCs w:val="22"/>
              </w:rPr>
              <w:t xml:space="preserve">Platform vendors absorb our services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Anthropic, OpenAI, or cloud providers build harness engineering into their platforms as managed services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Platforms provide primitives, not domain-specific architectures. Temporal provides durable execution, but not the governance model for a financial services agent. Our value is in the synthesis layer.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333333"/>
                <w:sz w:val="22"/>
                <w:szCs w:val="22"/>
              </w:rPr>
              <w:t xml:space="preserve">Market timing: too early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Most enterprises are still in the experimentation phase and not ready to invest in production architecture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The Tier 1 Assessment is priced for experimentation budgets. We meet companies where they are. The assessment itself educates them on why architecture matters.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color w:val="333333"/>
                <w:sz w:val="22"/>
                <w:szCs w:val="22"/>
              </w:rPr>
              <w:t xml:space="preserve">Scaling beyond founder expertise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The intellectual edge is personal, making it hard to hire others who can deliver at the same level</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2"/>
                <w:szCs w:val="22"/>
              </w:rPr>
              <w:t xml:space="preserve">Productize the methodology. The Design-First framework, the Flow Zone model, the evaluation-first approach are all teachable. Certifications codify the methodology.</w:t>
            </w:r>
          </w:p>
        </w:tc>
      </w:tr>
    </w:tbl>
    <w:p>
      <w:pPr>
        <w:spacing w:after="300"/>
      </w:pPr>
    </w:p>
    <w:p>
      <w:pPr>
        <w:pStyle w:val="Heading1"/>
      </w:pPr>
      <w:r>
        <w:t xml:space="preserve">10. Immediate Next Steps</w:t>
      </w:r>
    </w:p>
    <w:p>
      <w:pPr>
        <w:pBdr>
          <w:bottom w:val="single" w:color="3B7DD8" w:sz="4" w:space="1"/>
        </w:pBdr>
        <w:spacing w:before="300" w:after="300"/>
      </w:pPr>
    </w:p>
    <w:p>
      <w:pPr>
        <w:pStyle w:val="ListParagraph"/>
        <w:numPr>
          <w:ilvl w:val="0"/>
          <w:numId w:val="3"/>
        </w:numPr>
        <w:spacing w:after="160" w:line="276"/>
      </w:pPr>
      <w:r>
        <w:rPr>
          <w:rFonts w:ascii="Arial" w:cs="Arial" w:eastAsia="Arial" w:hAnsi="Arial"/>
          <w:b/>
          <w:bCs/>
          <w:color w:val="333333"/>
          <w:sz w:val="22"/>
          <w:szCs w:val="22"/>
        </w:rPr>
        <w:t xml:space="preserve">Decide on company name and register domain. </w:t>
      </w:r>
      <w:r>
        <w:rPr>
          <w:rFonts w:ascii="Arial" w:cs="Arial" w:eastAsia="Arial" w:hAnsi="Arial"/>
          <w:color w:val="333333"/>
          <w:sz w:val="22"/>
          <w:szCs w:val="22"/>
        </w:rPr>
        <w:t xml:space="preserve">"Harness" is distinctive but may face trademark issues. Research alternatives.</w:t>
      </w:r>
    </w:p>
    <w:p>
      <w:pPr>
        <w:pStyle w:val="ListParagraph"/>
        <w:numPr>
          <w:ilvl w:val="0"/>
          <w:numId w:val="3"/>
        </w:numPr>
        <w:spacing w:after="160" w:line="276"/>
      </w:pPr>
      <w:r>
        <w:rPr>
          <w:rFonts w:ascii="Arial" w:cs="Arial" w:eastAsia="Arial" w:hAnsi="Arial"/>
          <w:b/>
          <w:bCs/>
          <w:color w:val="333333"/>
          <w:sz w:val="22"/>
          <w:szCs w:val="22"/>
        </w:rPr>
        <w:t xml:space="preserve">Draft the Harness Engineering Playbook outline. </w:t>
      </w:r>
      <w:r>
        <w:rPr>
          <w:rFonts w:ascii="Arial" w:cs="Arial" w:eastAsia="Arial" w:hAnsi="Arial"/>
          <w:color w:val="333333"/>
          <w:sz w:val="22"/>
          <w:szCs w:val="22"/>
        </w:rPr>
        <w:t xml:space="preserve">This is your primary marketing asset and intellectual property demonstration.</w:t>
      </w:r>
    </w:p>
    <w:p>
      <w:pPr>
        <w:pStyle w:val="ListParagraph"/>
        <w:numPr>
          <w:ilvl w:val="0"/>
          <w:numId w:val="3"/>
        </w:numPr>
        <w:spacing w:after="160" w:line="276"/>
      </w:pPr>
      <w:r>
        <w:rPr>
          <w:rFonts w:ascii="Arial" w:cs="Arial" w:eastAsia="Arial" w:hAnsi="Arial"/>
          <w:b/>
          <w:bCs/>
          <w:color w:val="333333"/>
          <w:sz w:val="22"/>
          <w:szCs w:val="22"/>
        </w:rPr>
        <w:t xml:space="preserve">Identify one design partner. </w:t>
      </w:r>
      <w:r>
        <w:rPr>
          <w:rFonts w:ascii="Arial" w:cs="Arial" w:eastAsia="Arial" w:hAnsi="Arial"/>
          <w:color w:val="333333"/>
          <w:sz w:val="22"/>
          <w:szCs w:val="22"/>
        </w:rPr>
        <w:t xml:space="preserve">Target a Series B-C company with a technical CEO who already understands agents but is stuck on production.</w:t>
      </w:r>
    </w:p>
    <w:p>
      <w:pPr>
        <w:pStyle w:val="ListParagraph"/>
        <w:numPr>
          <w:ilvl w:val="0"/>
          <w:numId w:val="3"/>
        </w:numPr>
        <w:spacing w:after="160" w:line="276"/>
      </w:pPr>
      <w:r>
        <w:rPr>
          <w:rFonts w:ascii="Arial" w:cs="Arial" w:eastAsia="Arial" w:hAnsi="Arial"/>
          <w:b/>
          <w:bCs/>
          <w:color w:val="333333"/>
          <w:sz w:val="22"/>
          <w:szCs w:val="22"/>
        </w:rPr>
        <w:t xml:space="preserve">Build the Tier 1 assessment template. </w:t>
      </w:r>
      <w:r>
        <w:rPr>
          <w:rFonts w:ascii="Arial" w:cs="Arial" w:eastAsia="Arial" w:hAnsi="Arial"/>
          <w:color w:val="333333"/>
          <w:sz w:val="22"/>
          <w:szCs w:val="22"/>
        </w:rPr>
        <w:t xml:space="preserve">Codify the Flow Zone classification, harness audit, and blueprint structure into reusable frameworks.</w:t>
      </w:r>
    </w:p>
    <w:p>
      <w:pPr>
        <w:pStyle w:val="ListParagraph"/>
        <w:numPr>
          <w:ilvl w:val="0"/>
          <w:numId w:val="3"/>
        </w:numPr>
        <w:spacing w:after="160" w:line="276"/>
      </w:pPr>
      <w:r>
        <w:rPr>
          <w:rFonts w:ascii="Arial" w:cs="Arial" w:eastAsia="Arial" w:hAnsi="Arial"/>
          <w:b/>
          <w:bCs/>
          <w:color w:val="333333"/>
          <w:sz w:val="22"/>
          <w:szCs w:val="22"/>
        </w:rPr>
        <w:t xml:space="preserve">Answer the three context gaps. </w:t>
      </w:r>
      <w:r>
        <w:rPr>
          <w:rFonts w:ascii="Arial" w:cs="Arial" w:eastAsia="Arial" w:hAnsi="Arial"/>
          <w:color w:val="333333"/>
          <w:sz w:val="22"/>
          <w:szCs w:val="22"/>
        </w:rPr>
        <w:t xml:space="preserve">Target client profile, team composition, and revenue model preference will refine every recommendation in this document.</w:t>
      </w:r>
    </w:p>
    <w:p>
      <w:pPr>
        <w:spacing w:after="400"/>
      </w:pPr>
    </w:p>
    <w:p>
      <w:pPr>
        <w:pBdr>
          <w:bottom w:val="single" w:color="3B7DD8" w:sz="4" w:space="1"/>
        </w:pBdr>
        <w:spacing w:before="300" w:after="300"/>
      </w:pPr>
    </w:p>
    <w:p>
      <w:pPr>
        <w:spacing w:after="200"/>
        <w:jc w:val="center"/>
      </w:pPr>
      <w:r>
        <w:rPr>
          <w:rFonts w:ascii="Arial" w:cs="Arial" w:eastAsia="Arial" w:hAnsi="Arial"/>
          <w:i/>
          <w:iCs/>
          <w:color w:val="666666"/>
          <w:sz w:val="20"/>
          <w:szCs w:val="20"/>
        </w:rPr>
        <w:t xml:space="preserve">"Systems thinking, not software engineering." — Jim Prosser</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Agentic Systems Consultancy  |  Strategy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3B7DD8"/>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2026-03-16T16:44:02.630Z</dcterms:created>
  <dcterms:modified xsi:type="dcterms:W3CDTF">2026-03-16T16:44:02.632Z</dcterms:modified>
</cp:coreProperties>
</file>

<file path=docProps/custom.xml><?xml version="1.0" encoding="utf-8"?>
<Properties xmlns="http://schemas.openxmlformats.org/officeDocument/2006/custom-properties" xmlns:vt="http://schemas.openxmlformats.org/officeDocument/2006/docPropsVTypes"/>
</file>