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4F8A" w:val="clear"/>
            <w:tcMar>
              <w:top w:type="dxa" w:w="400"/>
              <w:left w:type="dxa" w:w="400"/>
              <w:bottom w:type="dxa" w:w="400"/>
              <w:right w:type="dxa" w:w="400"/>
            </w:tcMar>
          </w:tcPr>
          <w:p>
            <w:pPr>
              <w:spacing w:after="120" w:before="0"/>
              <w:jc w:val="center"/>
            </w:pPr>
            <w:r>
              <w:rPr>
                <w:rFonts w:ascii="Arial" w:cs="Arial" w:eastAsia="Arial" w:hAnsi="Arial"/>
                <w:b/>
                <w:bCs/>
                <w:color w:val="FFFFFF"/>
                <w:sz w:val="72"/>
                <w:szCs w:val="72"/>
              </w:rPr>
              <w:t xml:space="preserve">InvestIQ</w:t>
            </w:r>
          </w:p>
          <w:p>
            <w:pPr>
              <w:spacing w:after="80" w:before="0"/>
              <w:jc w:val="center"/>
            </w:pPr>
            <w:r>
              <w:rPr>
                <w:rFonts w:ascii="Arial" w:cs="Arial" w:eastAsia="Arial" w:hAnsi="Arial"/>
                <w:color w:val="B8D4F0"/>
                <w:sz w:val="36"/>
                <w:szCs w:val="36"/>
              </w:rPr>
              <w:t xml:space="preserve">Bank Investment Advisory</w:t>
            </w:r>
          </w:p>
          <w:p>
            <w:pPr>
              <w:spacing w:after="0" w:before="0"/>
              <w:jc w:val="center"/>
            </w:pPr>
            <w:r>
              <w:rPr>
                <w:rFonts w:ascii="Arial" w:cs="Arial" w:eastAsia="Arial" w:hAnsi="Arial"/>
                <w:color w:val="B8D4F0"/>
                <w:sz w:val="32"/>
                <w:szCs w:val="32"/>
              </w:rPr>
              <w:t xml:space="preserve">NLP + RAG Conversational System</w:t>
            </w:r>
          </w:p>
        </w:tc>
      </w:tr>
    </w:tbl>
    <w:p>
      <w:pPr>
        <w:spacing w:after="0" w:before="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tcPr>
          <w:p>
            <w:r>
              <w:rPr>
                <w:rFonts w:ascii="Arial" w:cs="Arial" w:eastAsia="Arial" w:hAnsi="Arial"/>
                <w:b/>
                <w:bCs/>
                <w:color w:val="1B4F8A"/>
                <w:sz w:val="20"/>
                <w:szCs w:val="20"/>
              </w:rPr>
              <w:t xml:space="preserve">Course</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AASD 4010 — Deep Learning I</w:t>
            </w:r>
          </w:p>
        </w:tc>
      </w:tr>
      <w:tr>
        <w:tc>
          <w:tcPr>
            <w:tcW w:type="dxa" w:w="28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tcPr>
          <w:p>
            <w:r>
              <w:rPr>
                <w:rFonts w:ascii="Arial" w:cs="Arial" w:eastAsia="Arial" w:hAnsi="Arial"/>
                <w:b/>
                <w:bCs/>
                <w:color w:val="1B4F8A"/>
                <w:sz w:val="20"/>
                <w:szCs w:val="20"/>
              </w:rPr>
              <w:t xml:space="preserve">Program</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George Brown College — School of Computer Technology</w:t>
            </w:r>
          </w:p>
        </w:tc>
      </w:tr>
      <w:tr>
        <w:tc>
          <w:tcPr>
            <w:tcW w:type="dxa" w:w="28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tcPr>
          <w:p>
            <w:r>
              <w:rPr>
                <w:rFonts w:ascii="Arial" w:cs="Arial" w:eastAsia="Arial" w:hAnsi="Arial"/>
                <w:b/>
                <w:bCs/>
                <w:color w:val="1B4F8A"/>
                <w:sz w:val="20"/>
                <w:szCs w:val="20"/>
              </w:rPr>
              <w:t xml:space="preserve">Option</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Option 2: LLM / RAG / Agent Solution</w:t>
            </w:r>
          </w:p>
        </w:tc>
      </w:tr>
      <w:tr>
        <w:tc>
          <w:tcPr>
            <w:tcW w:type="dxa" w:w="28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tcPr>
          <w:p>
            <w:r>
              <w:rPr>
                <w:rFonts w:ascii="Arial" w:cs="Arial" w:eastAsia="Arial" w:hAnsi="Arial"/>
                <w:b/>
                <w:bCs/>
                <w:color w:val="1B4F8A"/>
                <w:sz w:val="20"/>
                <w:szCs w:val="20"/>
              </w:rPr>
              <w:t xml:space="preserve">Date</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May 2026</w:t>
            </w:r>
          </w:p>
        </w:tc>
      </w:tr>
      <w:tr>
        <w:tc>
          <w:tcPr>
            <w:tcW w:type="dxa" w:w="2800"/>
            <w:tcBorders>
              <w:top w:val="single" w:color="D5E8F0" w:sz="1"/>
              <w:left w:val="single" w:color="D5E8F0" w:sz="1"/>
              <w:bottom w:val="single" w:color="D5E8F0" w:sz="1"/>
              <w:right w:val="single" w:color="D5E8F0" w:sz="1"/>
            </w:tcBorders>
            <w:shd w:fill="D5E8F0" w:val="clear"/>
            <w:tcMar>
              <w:top w:type="dxa" w:w="80"/>
              <w:left w:type="dxa" w:w="120"/>
              <w:bottom w:type="dxa" w:w="80"/>
              <w:right w:type="dxa" w:w="120"/>
            </w:tcMar>
          </w:tcPr>
          <w:p>
            <w:r>
              <w:rPr>
                <w:rFonts w:ascii="Arial" w:cs="Arial" w:eastAsia="Arial" w:hAnsi="Arial"/>
                <w:b/>
                <w:bCs/>
                <w:color w:val="1B4F8A"/>
                <w:sz w:val="20"/>
                <w:szCs w:val="20"/>
              </w:rPr>
              <w:t xml:space="preserve">Status</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Project Brief v1.0</w:t>
            </w:r>
          </w:p>
        </w:tc>
      </w:tr>
    </w:tbl>
    <w:p>
      <w:pPr>
        <w:spacing w:after="0" w:before="300"/>
      </w:pPr>
    </w:p>
    <w:p>
      <w:pPr>
        <w:spacing w:after="120" w:before="0"/>
      </w:pPr>
      <w:r>
        <w:rPr>
          <w:rFonts w:ascii="Arial" w:cs="Arial" w:eastAsia="Arial" w:hAnsi="Arial"/>
          <w:b/>
          <w:bCs/>
          <w:color w:val="1B4F8A"/>
          <w:sz w:val="24"/>
          <w:szCs w:val="24"/>
        </w:rPr>
        <w:t xml:space="preserve">Project Team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4380"/>
      </w:tblGrid>
      <w:tr>
        <w:trPr>
          <w:tblHeader/>
        </w:trPr>
        <w:tc>
          <w:tcPr>
            <w:tcW w:type="dxa" w:w="3500"/>
            <w:tcBorders>
              <w:top w:val="single" w:color="2E75B6" w:sz="1"/>
              <w:left w:val="single" w:color="2E75B6" w:sz="1"/>
              <w:bottom w:val="single" w:color="2E75B6" w:sz="1"/>
              <w:right w:val="single" w:color="2E75B6"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2200"/>
            <w:tcBorders>
              <w:top w:val="single" w:color="2E75B6" w:sz="1"/>
              <w:left w:val="single" w:color="2E75B6" w:sz="1"/>
              <w:bottom w:val="single" w:color="2E75B6" w:sz="1"/>
              <w:right w:val="single" w:color="2E75B6"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Student ID</w:t>
            </w:r>
          </w:p>
        </w:tc>
        <w:tc>
          <w:tcPr>
            <w:tcW w:type="dxa" w:w="4380"/>
            <w:tcBorders>
              <w:top w:val="single" w:color="2E75B6" w:sz="1"/>
              <w:left w:val="single" w:color="2E75B6" w:sz="1"/>
              <w:bottom w:val="single" w:color="2E75B6" w:sz="1"/>
              <w:right w:val="single" w:color="2E75B6"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 / Workstream</w:t>
            </w:r>
          </w:p>
        </w:tc>
      </w:tr>
      <w:tr>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1A"/>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1A"/>
                <w:sz w:val="20"/>
                <w:szCs w:val="20"/>
              </w:rPr>
              <w:t xml:space="preserve">[ID]</w:t>
            </w:r>
          </w:p>
        </w:tc>
        <w:tc>
          <w:tcPr>
            <w:tcW w:type="dxa" w:w="43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20"/>
                <w:szCs w:val="20"/>
              </w:rPr>
              <w:t xml:space="preserve">PM · RAG Store · Router · Output  (Solo)</w:t>
            </w:r>
          </w:p>
        </w:tc>
      </w:tr>
      <w:tr>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1A"/>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1A"/>
                <w:sz w:val="20"/>
                <w:szCs w:val="20"/>
              </w:rPr>
              <w:t xml:space="preserve">[ID]</w:t>
            </w:r>
          </w:p>
        </w:tc>
        <w:tc>
          <w:tcPr>
            <w:tcW w:type="dxa" w:w="43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20"/>
                <w:szCs w:val="20"/>
              </w:rPr>
              <w:t xml:space="preserve">BERT Intent Classifier  (Pair A)</w:t>
            </w:r>
          </w:p>
        </w:tc>
      </w:tr>
      <w:tr>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1A"/>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1A"/>
                <w:sz w:val="20"/>
                <w:szCs w:val="20"/>
              </w:rPr>
              <w:t xml:space="preserve">[ID]</w:t>
            </w:r>
          </w:p>
        </w:tc>
        <w:tc>
          <w:tcPr>
            <w:tcW w:type="dxa" w:w="43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20"/>
                <w:szCs w:val="20"/>
              </w:rPr>
              <w:t xml:space="preserve">Entity Extractor · Model Eval  (Pair A)</w:t>
            </w:r>
          </w:p>
        </w:tc>
      </w:tr>
      <w:tr>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1A"/>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1A"/>
                <w:sz w:val="20"/>
                <w:szCs w:val="20"/>
              </w:rPr>
              <w:t xml:space="preserve">[ID]</w:t>
            </w:r>
          </w:p>
        </w:tc>
        <w:tc>
          <w:tcPr>
            <w:tcW w:type="dxa" w:w="43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20"/>
                <w:szCs w:val="20"/>
              </w:rPr>
              <w:t xml:space="preserve">T5 Text-to-SQL Fine-tuning  (Pair B)</w:t>
            </w:r>
          </w:p>
        </w:tc>
      </w:tr>
      <w:tr>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1A"/>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1A"/>
                <w:sz w:val="20"/>
                <w:szCs w:val="20"/>
              </w:rPr>
              <w:t xml:space="preserve">[ID]</w:t>
            </w:r>
          </w:p>
        </w:tc>
        <w:tc>
          <w:tcPr>
            <w:tcW w:type="dxa" w:w="43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20"/>
                <w:szCs w:val="20"/>
              </w:rPr>
              <w:t xml:space="preserve">SQLite · Query Execution · Charts  (Pair B)</w:t>
            </w:r>
          </w:p>
        </w:tc>
      </w:tr>
      <w:tr>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1A"/>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1A"/>
                <w:sz w:val="20"/>
                <w:szCs w:val="20"/>
              </w:rPr>
              <w:t xml:space="preserve">[ID]</w:t>
            </w:r>
          </w:p>
        </w:tc>
        <w:tc>
          <w:tcPr>
            <w:tcW w:type="dxa" w:w="43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20"/>
                <w:szCs w:val="20"/>
              </w:rPr>
              <w:t xml:space="preserve">Portfolio Classifier · EDA · Report  (Solo)</w:t>
            </w:r>
          </w:p>
        </w:tc>
      </w:tr>
    </w:tbl>
    <w:p>
      <w:pPr>
        <w:spacing w:after="0"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560A" w:sz="1"/>
              <w:left w:val="single" w:color="C0560A" w:sz="1"/>
              <w:bottom w:val="single" w:color="C0560A" w:sz="1"/>
              <w:right w:val="single" w:color="C0560A" w:sz="1"/>
            </w:tcBorders>
            <w:shd w:fill="FFF8E1" w:val="clear"/>
            <w:tcMar>
              <w:top w:type="dxa" w:w="120"/>
              <w:left w:type="dxa" w:w="180"/>
              <w:bottom w:type="dxa" w:w="120"/>
              <w:right w:type="dxa" w:w="180"/>
            </w:tcMar>
          </w:tcPr>
          <w:p>
            <w:pPr>
              <w:spacing w:after="60" w:before="0"/>
            </w:pPr>
            <w:r>
              <w:rPr>
                <w:rFonts w:ascii="Arial" w:cs="Arial" w:eastAsia="Arial" w:hAnsi="Arial"/>
                <w:b/>
                <w:bCs/>
                <w:color w:val="C0560A"/>
                <w:sz w:val="20"/>
                <w:szCs w:val="20"/>
              </w:rPr>
              <w:t xml:space="preserve">Confidentiality:  </w:t>
            </w:r>
            <w:r>
              <w:rPr>
                <w:rFonts w:ascii="Arial" w:cs="Arial" w:eastAsia="Arial" w:hAnsi="Arial"/>
                <w:color w:val="1A1A1A"/>
                <w:sz w:val="20"/>
                <w:szCs w:val="20"/>
              </w:rPr>
              <w:t xml:space="preserve">This document is prepared for academic purposes as part of AASD 4010 Deep Learning I. All dataset references are publicly available. No client financial data is used.</w:t>
            </w:r>
          </w:p>
        </w:tc>
      </w:tr>
    </w:tbl>
    <w:p>
      <w:r>
        <w:br w:type="page"/>
      </w:r>
    </w:p>
    <w:p>
      <w:pPr>
        <w:sectPr>
          <w:pgSz w:w="12240" w:h="15840" w:orient="portrait"/>
          <w:pgMar w:top="1080" w:right="1080" w:bottom="1080" w:left="108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Executive Summary</w:t>
      </w:r>
    </w:p>
    <w:p>
      <w:pPr>
        <w:spacing w:after="100" w:before="80"/>
      </w:pPr>
      <w:r>
        <w:rPr>
          <w:rFonts w:ascii="Arial" w:cs="Arial" w:eastAsia="Arial" w:hAnsi="Arial"/>
          <w:color w:val="1A1A1A"/>
          <w:sz w:val="22"/>
          <w:szCs w:val="22"/>
        </w:rPr>
        <w:t xml:space="preserve">InvestIQ is a conversational NLP and RAG-powered advisory system designed for bank investment officers. The officer types a question in plain English — about a client's ideal portfolio, or about historical performance data — and the system responds with a recommendation, a table, or a chart.</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1"/>
              <w:left w:val="single" w:color="2E75B6" w:sz="1"/>
              <w:bottom w:val="single" w:color="2E75B6" w:sz="1"/>
              <w:right w:val="single" w:color="2E75B6" w:sz="1"/>
            </w:tcBorders>
            <w:shd w:fill="E8F2FD" w:val="clear"/>
            <w:tcMar>
              <w:top w:type="dxa" w:w="120"/>
              <w:left w:type="dxa" w:w="180"/>
              <w:bottom w:type="dxa" w:w="120"/>
              <w:right w:type="dxa" w:w="180"/>
            </w:tcMar>
          </w:tcPr>
          <w:p>
            <w:pPr>
              <w:spacing w:after="60" w:before="0"/>
            </w:pPr>
            <w:r>
              <w:rPr>
                <w:rFonts w:ascii="Arial" w:cs="Arial" w:eastAsia="Arial" w:hAnsi="Arial"/>
                <w:b/>
                <w:bCs/>
                <w:color w:val="1B4F8A"/>
                <w:sz w:val="20"/>
                <w:szCs w:val="20"/>
              </w:rPr>
              <w:t xml:space="preserve">Core Value Proposition:  </w:t>
            </w:r>
            <w:r>
              <w:rPr>
                <w:rFonts w:ascii="Arial" w:cs="Arial" w:eastAsia="Arial" w:hAnsi="Arial"/>
                <w:color w:val="1A1A1A"/>
                <w:sz w:val="20"/>
                <w:szCs w:val="20"/>
              </w:rPr>
              <w:t xml:space="preserve">Replace static BI dashboards with a conversational interface. A financial advisory officer asks "What portfolio fits a 45-year-old moderate-risk client with a 10-year horizon?" and receives a structured recommendation with rationale and supporting historic performance charts — all in seconds.</w:t>
            </w:r>
          </w:p>
        </w:tc>
      </w:tr>
    </w:tbl>
    <w:p>
      <w:pPr>
        <w:spacing w:after="0" w:before="120"/>
      </w:pPr>
    </w:p>
    <w:p>
      <w:pPr>
        <w:spacing w:after="100" w:before="80"/>
      </w:pPr>
      <w:r>
        <w:rPr>
          <w:rFonts w:ascii="Arial" w:cs="Arial" w:eastAsia="Arial" w:hAnsi="Arial"/>
          <w:color w:val="1A1A1A"/>
          <w:sz w:val="22"/>
          <w:szCs w:val="22"/>
        </w:rPr>
        <w:t xml:space="preserve">The system satisfies the AASD 4010 final project requirements under Option 2 (LLM Solutions) with a comprehensive multi-component implementation that includes two trained deep learning models, a fine-tuned Text-to-SQL module, a RAG retrieval layer, and a visualisation output engine.</w:t>
      </w:r>
    </w:p>
    <w:p>
      <w:pPr>
        <w:pStyle w:val="Heading1"/>
      </w:pPr>
      <w:r>
        <w:rPr>
          <w:rFonts w:ascii="Arial" w:cs="Arial" w:eastAsia="Arial" w:hAnsi="Arial"/>
        </w:rPr>
        <w:t xml:space="preserve">2. Problem Statement &amp; Background</w:t>
      </w:r>
    </w:p>
    <w:p>
      <w:pPr>
        <w:pStyle w:val="Heading2"/>
      </w:pPr>
      <w:r>
        <w:rPr>
          <w:rFonts w:ascii="Arial" w:cs="Arial" w:eastAsia="Arial" w:hAnsi="Arial"/>
        </w:rPr>
        <w:t xml:space="preserve">2.1 The Problem</w:t>
      </w:r>
    </w:p>
    <w:p>
      <w:pPr>
        <w:spacing w:after="100" w:before="80"/>
      </w:pPr>
      <w:r>
        <w:rPr>
          <w:rFonts w:ascii="Arial" w:cs="Arial" w:eastAsia="Arial" w:hAnsi="Arial"/>
          <w:color w:val="1A1A1A"/>
          <w:sz w:val="22"/>
          <w:szCs w:val="22"/>
        </w:rPr>
        <w:t xml:space="preserve">Bank investment advisors currently rely on separate tools to answer client questions: a CRM for client profiles, a separate analytics dashboard for portfolio performance, and their own domain knowledge for recommendations. This creates friction, slows advisory sessions, and introduces inconsistency.</w:t>
      </w:r>
    </w:p>
    <w:p>
      <w:pPr>
        <w:spacing w:after="0" w:before="80"/>
      </w:pPr>
    </w:p>
    <w:p>
      <w:pPr>
        <w:spacing w:after="100" w:before="80"/>
      </w:pPr>
      <w:r>
        <w:rPr>
          <w:rFonts w:ascii="Arial" w:cs="Arial" w:eastAsia="Arial" w:hAnsi="Arial"/>
          <w:color w:val="1A1A1A"/>
          <w:sz w:val="22"/>
          <w:szCs w:val="22"/>
        </w:rPr>
        <w:t xml:space="preserve">The core question this project answers: Can a single conversational interface replace these fragmented tools and provide accurate, explainable investment recommendations from structured client data and historic portfolio returns?</w:t>
      </w:r>
    </w:p>
    <w:p>
      <w:pPr>
        <w:pStyle w:val="Heading2"/>
      </w:pPr>
      <w:r>
        <w:rPr>
          <w:rFonts w:ascii="Arial" w:cs="Arial" w:eastAsia="Arial" w:hAnsi="Arial"/>
        </w:rPr>
        <w:t xml:space="preserve">2.2 User Persona</w:t>
      </w:r>
    </w:p>
    <w:p>
      <w:pPr>
        <w:spacing w:after="100" w:before="80"/>
      </w:pPr>
      <w:r>
        <w:rPr>
          <w:rFonts w:ascii="Arial" w:cs="Arial" w:eastAsia="Arial" w:hAnsi="Arial"/>
          <w:color w:val="1A1A1A"/>
          <w:sz w:val="22"/>
          <w:szCs w:val="22"/>
        </w:rPr>
        <w:t xml:space="preserve">Primary user: A Financial Advisory Officer (FAO) at a bank or wealth management firm. The FAO is meeting with a client and needs to quickly:</w:t>
      </w:r>
    </w:p>
    <w:p>
      <w:pPr>
        <w:pStyle w:val="ListParagraph"/>
        <w:numPr>
          <w:ilvl w:val="0"/>
          <w:numId w:val="2"/>
        </w:numPr>
        <w:spacing w:after="40" w:before="40"/>
      </w:pPr>
      <w:r>
        <w:rPr>
          <w:rFonts w:ascii="Arial" w:cs="Arial" w:eastAsia="Arial" w:hAnsi="Arial"/>
          <w:color w:val="1A1A1A"/>
          <w:sz w:val="21"/>
          <w:szCs w:val="21"/>
        </w:rPr>
        <w:t xml:space="preserve">Recommend the most appropriate investment portfolio based on the client's risk profile and financial goals.</w:t>
      </w:r>
    </w:p>
    <w:p>
      <w:pPr>
        <w:pStyle w:val="ListParagraph"/>
        <w:numPr>
          <w:ilvl w:val="0"/>
          <w:numId w:val="2"/>
        </w:numPr>
        <w:spacing w:after="40" w:before="40"/>
      </w:pPr>
      <w:r>
        <w:rPr>
          <w:rFonts w:ascii="Arial" w:cs="Arial" w:eastAsia="Arial" w:hAnsi="Arial"/>
          <w:color w:val="1A1A1A"/>
          <w:sz w:val="21"/>
          <w:szCs w:val="21"/>
        </w:rPr>
        <w:t xml:space="preserve">Retrieve and present historic performance data for specific portfolios or benchmarks.</w:t>
      </w:r>
    </w:p>
    <w:p>
      <w:pPr>
        <w:pStyle w:val="ListParagraph"/>
        <w:numPr>
          <w:ilvl w:val="0"/>
          <w:numId w:val="2"/>
        </w:numPr>
        <w:spacing w:after="40" w:before="40"/>
      </w:pPr>
      <w:r>
        <w:rPr>
          <w:rFonts w:ascii="Arial" w:cs="Arial" w:eastAsia="Arial" w:hAnsi="Arial"/>
          <w:color w:val="1A1A1A"/>
          <w:sz w:val="21"/>
          <w:szCs w:val="21"/>
        </w:rPr>
        <w:t xml:space="preserve">Compare portfolio options and explain trade-offs in plain language.</w:t>
      </w:r>
    </w:p>
    <w:p>
      <w:pPr>
        <w:pStyle w:val="ListParagraph"/>
        <w:numPr>
          <w:ilvl w:val="0"/>
          <w:numId w:val="2"/>
        </w:numPr>
        <w:spacing w:after="40" w:before="40"/>
      </w:pPr>
      <w:r>
        <w:rPr>
          <w:rFonts w:ascii="Arial" w:cs="Arial" w:eastAsia="Arial" w:hAnsi="Arial"/>
          <w:color w:val="1A1A1A"/>
          <w:sz w:val="21"/>
          <w:szCs w:val="21"/>
        </w:rPr>
        <w:t xml:space="preserve">Generate supporting charts on demand without switching tools.</w:t>
      </w:r>
    </w:p>
    <w:p>
      <w:pPr>
        <w:pStyle w:val="Heading2"/>
      </w:pPr>
      <w:r>
        <w:rPr>
          <w:rFonts w:ascii="Arial" w:cs="Arial" w:eastAsia="Arial" w:hAnsi="Arial"/>
        </w:rPr>
        <w:t xml:space="preserve">2.3 Scope</w:t>
      </w:r>
    </w:p>
    <w:p>
      <w:pPr>
        <w:spacing w:after="100" w:before="80"/>
      </w:pPr>
      <w:r>
        <w:rPr>
          <w:rFonts w:ascii="Arial" w:cs="Arial" w:eastAsia="Arial" w:hAnsi="Arial"/>
          <w:color w:val="1A1A1A"/>
          <w:sz w:val="22"/>
          <w:szCs w:val="22"/>
        </w:rPr>
        <w:t xml:space="preserve">This project covers five portfolio archetypes: Capital Preservation, Conservative Income, Balanced Growth, Aggressive Growth, and ESG-Tilt Balanced. The system is domain-specific and does not provide general-purpose financial advice. Historic data spans 10 years of publicly available ETF returns.</w:t>
      </w:r>
    </w:p>
    <w:p>
      <w:pPr>
        <w:pStyle w:val="Heading1"/>
      </w:pPr>
      <w:r>
        <w:rPr>
          <w:rFonts w:ascii="Arial" w:cs="Arial" w:eastAsia="Arial" w:hAnsi="Arial"/>
        </w:rPr>
        <w:t xml:space="preserve">3. System Architecture</w:t>
      </w:r>
    </w:p>
    <w:p>
      <w:pPr>
        <w:pStyle w:val="Heading2"/>
      </w:pPr>
      <w:r>
        <w:rPr>
          <w:rFonts w:ascii="Arial" w:cs="Arial" w:eastAsia="Arial" w:hAnsi="Arial"/>
        </w:rPr>
        <w:t xml:space="preserve">3.1 Pipeline Overview</w:t>
      </w:r>
    </w:p>
    <w:p>
      <w:pPr>
        <w:spacing w:after="100" w:before="80"/>
      </w:pPr>
      <w:r>
        <w:rPr>
          <w:rFonts w:ascii="Arial" w:cs="Arial" w:eastAsia="Arial" w:hAnsi="Arial"/>
          <w:color w:val="1A1A1A"/>
          <w:sz w:val="22"/>
          <w:szCs w:val="22"/>
        </w:rPr>
        <w:t xml:space="preserve">The system processes each officer query through five sequential layers:</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480"/>
      </w:tblGrid>
      <w:tr>
        <w:trPr>
          <w:tblHeader/>
        </w:trPr>
        <w:tc>
          <w:tcPr>
            <w:tcW w:type="dxa" w:w="1800"/>
            <w:tcBorders>
              <w:top w:val="single" w:color="2E75B6" w:sz="1"/>
              <w:left w:val="single" w:color="2E75B6" w:sz="1"/>
              <w:bottom w:val="single" w:color="2E75B6" w:sz="1"/>
              <w:right w:val="single" w:color="2E75B6"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2E75B6" w:sz="1"/>
              <w:left w:val="single" w:color="2E75B6" w:sz="1"/>
              <w:bottom w:val="single" w:color="2E75B6" w:sz="1"/>
              <w:right w:val="single" w:color="2E75B6"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480"/>
            <w:tcBorders>
              <w:top w:val="single" w:color="2E75B6" w:sz="1"/>
              <w:left w:val="single" w:color="2E75B6" w:sz="1"/>
              <w:bottom w:val="single" w:color="2E75B6" w:sz="1"/>
              <w:right w:val="single" w:color="2E75B6"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B8D4F0" w:val="clear"/>
            <w:tcMar>
              <w:top w:type="dxa" w:w="80"/>
              <w:left w:type="dxa" w:w="120"/>
              <w:bottom w:type="dxa" w:w="80"/>
              <w:right w:type="dxa" w:w="120"/>
            </w:tcMar>
            <w:vAlign w:val="center"/>
          </w:tcPr>
          <w:p>
            <w:pPr>
              <w:jc w:val="center"/>
            </w:pPr>
            <w:r>
              <w:rPr>
                <w:rFonts w:ascii="Arial" w:cs="Arial" w:eastAsia="Arial" w:hAnsi="Arial"/>
                <w:b/>
                <w:bCs/>
                <w:color w:val="1B4F8A"/>
                <w:sz w:val="18"/>
                <w:szCs w:val="18"/>
              </w:rPr>
              <w:t xml:space="preserve">Input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Officer's Natural Language Query</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Free-text question with optional client feature context passed to the system.</w:t>
            </w:r>
          </w:p>
        </w:tc>
      </w:tr>
      <w:tr>
        <w:tc>
          <w:tcPr>
            <w:tcW w:type="dxa" w:w="1800"/>
            <w:tcBorders>
              <w:top w:val="single" w:color="CCCCCC" w:sz="1"/>
              <w:left w:val="single" w:color="CCCCCC" w:sz="1"/>
              <w:bottom w:val="single" w:color="CCCCCC" w:sz="1"/>
              <w:right w:val="single" w:color="CCCCCC" w:sz="1"/>
            </w:tcBorders>
            <w:shd w:fill="F0EBFF" w:val="clear"/>
            <w:tcMar>
              <w:top w:type="dxa" w:w="80"/>
              <w:left w:type="dxa" w:w="120"/>
              <w:bottom w:type="dxa" w:w="80"/>
              <w:right w:type="dxa" w:w="120"/>
            </w:tcMar>
            <w:vAlign w:val="center"/>
          </w:tcPr>
          <w:p>
            <w:pPr>
              <w:jc w:val="center"/>
            </w:pPr>
            <w:r>
              <w:rPr>
                <w:rFonts w:ascii="Arial" w:cs="Arial" w:eastAsia="Arial" w:hAnsi="Arial"/>
                <w:b/>
                <w:bCs/>
                <w:color w:val="5B3E9B"/>
                <w:sz w:val="18"/>
                <w:szCs w:val="18"/>
              </w:rPr>
              <w:t xml:space="preserve">NLP Layer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Intent Classifier + Entity Extractor</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Fine-tuned BERT classifies query intent; NER extracts client features (age, risk, amount, horizon, ESG flag).</w:t>
            </w:r>
          </w:p>
        </w:tc>
      </w:tr>
      <w:tr>
        <w:tc>
          <w:tcPr>
            <w:tcW w:type="dxa" w:w="18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center"/>
          </w:tcPr>
          <w:p>
            <w:pPr>
              <w:jc w:val="center"/>
            </w:pPr>
            <w:r>
              <w:rPr>
                <w:rFonts w:ascii="Arial" w:cs="Arial" w:eastAsia="Arial" w:hAnsi="Arial"/>
                <w:b/>
                <w:bCs/>
                <w:color w:val="C0560A"/>
                <w:sz w:val="18"/>
                <w:szCs w:val="18"/>
              </w:rPr>
              <w:t xml:space="preserve">Router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Query Router</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Branches to Recommendation Engine (client features available) or Text-to-SQL / RAG (data retrieval request).</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E6B31"/>
                <w:sz w:val="18"/>
                <w:szCs w:val="18"/>
              </w:rPr>
              <w:t xml:space="preserve">Data Layer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Portfolio Classifier + Text-to-SQL + RAG</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Three sub-systems: trained portfolio model, SQL generation over historic data, vector retrieval over fund documents.</w:t>
            </w:r>
          </w:p>
        </w:tc>
      </w:tr>
      <w:tr>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bCs/>
                <w:color w:val="8B0000"/>
                <w:sz w:val="18"/>
                <w:szCs w:val="18"/>
              </w:rPr>
              <w:t xml:space="preserve">Output Layer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Text Answer + Chart / Table</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Combines model output or query result into a human-readable response with optional Matplotlib/Plotly visualization.</w:t>
            </w:r>
          </w:p>
        </w:tc>
      </w:tr>
    </w:tbl>
    <w:p>
      <w:pPr>
        <w:spacing w:after="0" w:before="160"/>
      </w:pPr>
    </w:p>
    <w:p>
      <w:pPr>
        <w:pStyle w:val="Heading2"/>
      </w:pPr>
      <w:r>
        <w:rPr>
          <w:rFonts w:ascii="Arial" w:cs="Arial" w:eastAsia="Arial" w:hAnsi="Arial"/>
        </w:rPr>
        <w:t xml:space="preserve">3.2 Query Routing Logic</w:t>
      </w:r>
    </w:p>
    <w:p>
      <w:pPr>
        <w:spacing w:after="100" w:before="80"/>
      </w:pPr>
      <w:r>
        <w:rPr>
          <w:rFonts w:ascii="Arial" w:cs="Arial" w:eastAsia="Arial" w:hAnsi="Arial"/>
          <w:color w:val="1A1A1A"/>
          <w:sz w:val="22"/>
          <w:szCs w:val="22"/>
        </w:rPr>
        <w:t xml:space="preserve">The router receives the classified intent from the NLP layer and branches as follows:</w:t>
      </w:r>
    </w:p>
    <w:p>
      <w:pPr>
        <w:pStyle w:val="ListParagraph"/>
        <w:numPr>
          <w:ilvl w:val="0"/>
          <w:numId w:val="2"/>
        </w:numPr>
        <w:spacing w:after="40" w:before="40"/>
      </w:pPr>
      <w:r>
        <w:rPr>
          <w:rFonts w:ascii="Arial" w:cs="Arial" w:eastAsia="Arial" w:hAnsi="Arial"/>
          <w:color w:val="1A1A1A"/>
          <w:sz w:val="21"/>
          <w:szCs w:val="21"/>
        </w:rPr>
        <w:t xml:space="preserve">Recommendation intent + extracted client features present  →  Portfolio Classifier branch.</w:t>
      </w:r>
    </w:p>
    <w:p>
      <w:pPr>
        <w:pStyle w:val="ListParagraph"/>
        <w:numPr>
          <w:ilvl w:val="0"/>
          <w:numId w:val="2"/>
        </w:numPr>
        <w:spacing w:after="40" w:before="40"/>
      </w:pPr>
      <w:r>
        <w:rPr>
          <w:rFonts w:ascii="Arial" w:cs="Arial" w:eastAsia="Arial" w:hAnsi="Arial"/>
          <w:color w:val="1A1A1A"/>
          <w:sz w:val="21"/>
          <w:szCs w:val="21"/>
        </w:rPr>
        <w:t xml:space="preserve">Data query intent (performance, returns, comparison)  →  Text-to-SQL branch against the yfinance SQLite database.</w:t>
      </w:r>
    </w:p>
    <w:p>
      <w:pPr>
        <w:pStyle w:val="ListParagraph"/>
        <w:numPr>
          <w:ilvl w:val="0"/>
          <w:numId w:val="2"/>
        </w:numPr>
        <w:spacing w:after="40" w:before="40"/>
      </w:pPr>
      <w:r>
        <w:rPr>
          <w:rFonts w:ascii="Arial" w:cs="Arial" w:eastAsia="Arial" w:hAnsi="Arial"/>
          <w:color w:val="1A1A1A"/>
          <w:sz w:val="21"/>
          <w:szCs w:val="21"/>
        </w:rPr>
        <w:t xml:space="preserve">Qualitative / explanatory intent (strategy, outlook, definition)  →  RAG retrieval branch against the vector store.</w:t>
      </w:r>
    </w:p>
    <w:p>
      <w:pPr>
        <w:pStyle w:val="ListParagraph"/>
        <w:numPr>
          <w:ilvl w:val="0"/>
          <w:numId w:val="2"/>
        </w:numPr>
        <w:spacing w:after="40" w:before="40"/>
      </w:pPr>
      <w:r>
        <w:rPr>
          <w:rFonts w:ascii="Arial" w:cs="Arial" w:eastAsia="Arial" w:hAnsi="Arial"/>
          <w:color w:val="1A1A1A"/>
          <w:sz w:val="21"/>
          <w:szCs w:val="21"/>
        </w:rPr>
        <w:t xml:space="preserve">Ambiguous or multi-intent queries  →  Router resolves by prioritising recommendation over retrieval.</w:t>
      </w:r>
    </w:p>
    <w:p>
      <w:pPr>
        <w:pStyle w:val="Heading2"/>
      </w:pPr>
      <w:r>
        <w:rPr>
          <w:rFonts w:ascii="Arial" w:cs="Arial" w:eastAsia="Arial" w:hAnsi="Arial"/>
        </w:rPr>
        <w:t xml:space="preserve">3.3 Sample Interaction Flow</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1"/>
              <w:left w:val="single" w:color="2E75B6" w:sz="1"/>
              <w:bottom w:val="single" w:color="2E75B6" w:sz="1"/>
              <w:right w:val="single" w:color="2E75B6" w:sz="1"/>
            </w:tcBorders>
            <w:shd w:fill="E8F2FD" w:val="clear"/>
            <w:tcMar>
              <w:top w:type="dxa" w:w="120"/>
              <w:left w:type="dxa" w:w="180"/>
              <w:bottom w:type="dxa" w:w="120"/>
              <w:right w:type="dxa" w:w="180"/>
            </w:tcMar>
          </w:tcPr>
          <w:p>
            <w:pPr>
              <w:spacing w:after="60" w:before="0"/>
            </w:pPr>
            <w:r>
              <w:rPr>
                <w:rFonts w:ascii="Arial" w:cs="Arial" w:eastAsia="Arial" w:hAnsi="Arial"/>
                <w:b/>
                <w:bCs/>
                <w:color w:val="1B4F8A"/>
                <w:sz w:val="20"/>
                <w:szCs w:val="20"/>
              </w:rPr>
              <w:t xml:space="preserve">Officer Query:  </w:t>
            </w:r>
            <w:r>
              <w:rPr>
                <w:rFonts w:ascii="Arial" w:cs="Arial" w:eastAsia="Arial" w:hAnsi="Arial"/>
                <w:color w:val="1A1A1A"/>
                <w:sz w:val="20"/>
                <w:szCs w:val="20"/>
              </w:rPr>
              <w:t xml:space="preserve">"My client is 45 years old, moderate risk tolerance, $200K to invest, 10-year horizon, ESG preference. What portfolio do you recommend?"</w:t>
            </w:r>
          </w:p>
        </w:tc>
      </w:tr>
    </w:tbl>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6B31" w:sz="1"/>
              <w:left w:val="single" w:color="1E6B31" w:sz="1"/>
              <w:bottom w:val="single" w:color="1E6B31" w:sz="1"/>
              <w:right w:val="single" w:color="1E6B31" w:sz="1"/>
            </w:tcBorders>
            <w:shd w:fill="D4EDDA" w:val="clear"/>
            <w:tcMar>
              <w:top w:type="dxa" w:w="120"/>
              <w:left w:type="dxa" w:w="180"/>
              <w:bottom w:type="dxa" w:w="120"/>
              <w:right w:type="dxa" w:w="180"/>
            </w:tcMar>
          </w:tcPr>
          <w:p>
            <w:pPr>
              <w:spacing w:after="60" w:before="0"/>
            </w:pPr>
            <w:r>
              <w:rPr>
                <w:rFonts w:ascii="Arial" w:cs="Arial" w:eastAsia="Arial" w:hAnsi="Arial"/>
                <w:b/>
                <w:bCs/>
                <w:color w:val="C0560A"/>
                <w:sz w:val="20"/>
                <w:szCs w:val="20"/>
              </w:rPr>
              <w:t xml:space="preserve">System Response:  </w:t>
            </w:r>
            <w:r>
              <w:rPr>
                <w:rFonts w:ascii="Arial" w:cs="Arial" w:eastAsia="Arial" w:hAnsi="Arial"/>
                <w:color w:val="1A1A1A"/>
                <w:sz w:val="20"/>
                <w:szCs w:val="20"/>
              </w:rPr>
              <w:t xml:space="preserve">Intent: RECOMMENDATION  |  Extracted: age=45, risk=moderate, amount=200000, horizon=10yr, esg=true  |  Routed to: Portfolio Classifier  |  Output: "Recommended: Balanced Growth (ESG-Tilt) — 60% equity / 30% bonds / 10% alternatives. Confidence: 87%. Rationale: Moderate risk profile and 10-year horizon support equity-heavy allocation; ESG flag activates the ESGV tilt."</w:t>
            </w:r>
          </w:p>
        </w:tc>
      </w:tr>
    </w:tbl>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1"/>
              <w:left w:val="single" w:color="2E75B6" w:sz="1"/>
              <w:bottom w:val="single" w:color="2E75B6" w:sz="1"/>
              <w:right w:val="single" w:color="2E75B6" w:sz="1"/>
            </w:tcBorders>
            <w:shd w:fill="E8F2FD" w:val="clear"/>
            <w:tcMar>
              <w:top w:type="dxa" w:w="120"/>
              <w:left w:type="dxa" w:w="180"/>
              <w:bottom w:type="dxa" w:w="120"/>
              <w:right w:type="dxa" w:w="180"/>
            </w:tcMar>
          </w:tcPr>
          <w:p>
            <w:pPr>
              <w:spacing w:after="60" w:before="0"/>
            </w:pPr>
            <w:r>
              <w:rPr>
                <w:rFonts w:ascii="Arial" w:cs="Arial" w:eastAsia="Arial" w:hAnsi="Arial"/>
                <w:b/>
                <w:bCs/>
                <w:color w:val="1B4F8A"/>
                <w:sz w:val="20"/>
                <w:szCs w:val="20"/>
              </w:rPr>
              <w:t xml:space="preserve">Follow-up Query:  </w:t>
            </w:r>
            <w:r>
              <w:rPr>
                <w:rFonts w:ascii="Arial" w:cs="Arial" w:eastAsia="Arial" w:hAnsi="Arial"/>
                <w:color w:val="1A1A1A"/>
                <w:sz w:val="20"/>
                <w:szCs w:val="20"/>
              </w:rPr>
              <w:t xml:space="preserve">"Show me the 5-year annualised return of this portfolio vs the S&amp;P 500."</w:t>
            </w:r>
          </w:p>
        </w:tc>
      </w:tr>
    </w:tbl>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6B31" w:sz="1"/>
              <w:left w:val="single" w:color="1E6B31" w:sz="1"/>
              <w:bottom w:val="single" w:color="1E6B31" w:sz="1"/>
              <w:right w:val="single" w:color="1E6B31" w:sz="1"/>
            </w:tcBorders>
            <w:shd w:fill="D4EDDA" w:val="clear"/>
            <w:tcMar>
              <w:top w:type="dxa" w:w="120"/>
              <w:left w:type="dxa" w:w="180"/>
              <w:bottom w:type="dxa" w:w="120"/>
              <w:right w:type="dxa" w:w="180"/>
            </w:tcMar>
          </w:tcPr>
          <w:p>
            <w:pPr>
              <w:spacing w:after="60" w:before="0"/>
            </w:pPr>
            <w:r>
              <w:rPr>
                <w:rFonts w:ascii="Arial" w:cs="Arial" w:eastAsia="Arial" w:hAnsi="Arial"/>
                <w:b/>
                <w:bCs/>
                <w:color w:val="C0560A"/>
                <w:sz w:val="20"/>
                <w:szCs w:val="20"/>
              </w:rPr>
              <w:t xml:space="preserve">System Response:  </w:t>
            </w:r>
            <w:r>
              <w:rPr>
                <w:rFonts w:ascii="Arial" w:cs="Arial" w:eastAsia="Arial" w:hAnsi="Arial"/>
                <w:color w:val="1A1A1A"/>
                <w:sz w:val="20"/>
                <w:szCs w:val="20"/>
              </w:rPr>
              <w:t xml:space="preserve">Intent: DATA_QUERY  |  Generated SQL: SELECT year, portfolio_return, sp500_return FROM returns WHERE portfolio="balanced_esg" AND year &gt;= 2020  |  Output: Line chart — Balanced ESG: 8.3% CAGR  vs  S&amp;P 500: 10.1% CAGR, with lower volatility (Sharpe 1.2 vs 0.9).</w:t>
            </w:r>
          </w:p>
        </w:tc>
      </w:tr>
    </w:tbl>
    <w:p>
      <w:pPr>
        <w:pStyle w:val="Heading1"/>
      </w:pPr>
      <w:r>
        <w:rPr>
          <w:rFonts w:ascii="Arial" w:cs="Arial" w:eastAsia="Arial" w:hAnsi="Arial"/>
        </w:rPr>
        <w:t xml:space="preserve">4. Datasets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300"/>
        <w:gridCol w:w="4580"/>
      </w:tblGrid>
      <w:tr>
        <w:trPr>
          <w:tblHeader/>
        </w:trPr>
        <w:tc>
          <w:tcPr>
            <w:tcW w:type="dxa" w:w="2500"/>
            <w:tcBorders>
              <w:top w:val="single" w:color="2E75B6" w:sz="1"/>
              <w:left w:val="single" w:color="2E75B6" w:sz="1"/>
              <w:bottom w:val="single" w:color="2E75B6" w:sz="1"/>
              <w:right w:val="single" w:color="2E75B6"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700"/>
            <w:tcBorders>
              <w:top w:val="single" w:color="2E75B6" w:sz="1"/>
              <w:left w:val="single" w:color="2E75B6" w:sz="1"/>
              <w:bottom w:val="single" w:color="2E75B6" w:sz="1"/>
              <w:right w:val="single" w:color="2E75B6"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300"/>
            <w:tcBorders>
              <w:top w:val="single" w:color="2E75B6" w:sz="1"/>
              <w:left w:val="single" w:color="2E75B6" w:sz="1"/>
              <w:bottom w:val="single" w:color="2E75B6" w:sz="1"/>
              <w:right w:val="single" w:color="2E75B6"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580"/>
            <w:tcBorders>
              <w:top w:val="single" w:color="2E75B6" w:sz="1"/>
              <w:left w:val="single" w:color="2E75B6" w:sz="1"/>
              <w:bottom w:val="single" w:color="2E75B6" w:sz="1"/>
              <w:right w:val="single" w:color="2E75B6"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Synthetic Client Profiles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Generate (Python)</w:t>
            </w:r>
          </w:p>
        </w:tc>
        <w:tc>
          <w:tcPr>
            <w:tcW w:type="dxa" w:w="13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6B31"/>
                <w:sz w:val="18"/>
                <w:szCs w:val="18"/>
              </w:rPr>
              <w:t xml:space="preserve">Required</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~5,000 rows with features: age, income bracket, risk tolerance (low/medium/high), investment horizon, ESG preference, existing holdings. Rule-based labelling maps each profile to one of five portfolio types. Serves as the training set for the portfolio classifier.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Yahoo Finance / yfinance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Free API</w:t>
            </w:r>
          </w:p>
        </w:tc>
        <w:tc>
          <w:tcPr>
            <w:tcW w:type="dxa" w:w="13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6B31"/>
                <w:sz w:val="18"/>
                <w:szCs w:val="18"/>
              </w:rPr>
              <w:t xml:space="preserve">Required</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 years of daily price history for ETF proxies: SPY (US equity), AGG (bonds), ESGV (ESG equity), VNQ (REITs), GLD (gold). Stored in SQLite as the historic returns database powering the Text-to-SQL branch.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Spider / WikiSQL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Yale NLP (download)</w:t>
            </w:r>
          </w:p>
        </w:tc>
        <w:tc>
          <w:tcPr>
            <w:tcW w:type="dxa" w:w="13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6B31"/>
                <w:sz w:val="18"/>
                <w:szCs w:val="18"/>
              </w:rPr>
              <w:t xml:space="preserve">Required</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10,000+ natural language to SQL question-answer pairs. Used to fine-tune the T5-small Text-to-SQL model. Finance-adjacent schemas in Spider are prioritised during training.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Financial PhraseBank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Kaggle</w:t>
            </w:r>
          </w:p>
        </w:tc>
        <w:tc>
          <w:tcPr>
            <w:tcW w:type="dxa" w:w="13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C0560A"/>
                <w:sz w:val="18"/>
                <w:szCs w:val="18"/>
              </w:rPr>
              <w:t xml:space="preserve">Recommended</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4,845 financial sentences labelled as positive, negative, or neutral. Supplements intent classifier training with domain-specific language patterns.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FRED Economic Data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Federal Reserve (API)</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777777"/>
                <w:sz w:val="18"/>
                <w:szCs w:val="18"/>
              </w:rPr>
              <w:t xml:space="preserve">Optional</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Macro indicators: interest rates, CPI, GDP growth. Loaded as context documents into the RAG vector store to answer questions like "what happened to bond yields in 2022?".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Fund Fact Sheets / Prospectuses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Scraped / PDF upload</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777777"/>
                <w:sz w:val="18"/>
                <w:szCs w:val="18"/>
              </w:rPr>
              <w:t xml:space="preserve">Optional</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Product descriptions for the five model portfolios, chunked and embedded into FAISS / Chroma. Powers the RAG retrieval branch for qualitative questions about portfolio composition and strategy.</w:t>
            </w:r>
          </w:p>
        </w:tc>
      </w:tr>
    </w:tbl>
    <w:p>
      <w:pPr>
        <w:spacing w:after="0" w:before="160"/>
      </w:pPr>
    </w:p>
    <w:p>
      <w:pPr>
        <w:spacing w:after="100" w:before="80"/>
      </w:pPr>
      <w:r>
        <w:rPr>
          <w:rFonts w:ascii="Arial" w:cs="Arial" w:eastAsia="Arial" w:hAnsi="Arial"/>
          <w:color w:val="1A1A1A"/>
          <w:sz w:val="22"/>
          <w:szCs w:val="22"/>
        </w:rPr>
        <w:t xml:space="preserve">All datasets are either publicly available, generated synthetically, or sourced via free APIs. No proprietary or client data is used. The synthetic client profile dataset is generated by the team using a rule-based Python script with controlled randomisation to ensure class balance.</w:t>
      </w:r>
    </w:p>
    <w:p>
      <w:pPr>
        <w:pStyle w:val="Heading1"/>
      </w:pPr>
      <w:r>
        <w:rPr>
          <w:rFonts w:ascii="Arial" w:cs="Arial" w:eastAsia="Arial" w:hAnsi="Arial"/>
        </w:rPr>
        <w:t xml:space="preserve">5. Deep Learning Models</w:t>
      </w:r>
    </w:p>
    <w:p>
      <w:pPr>
        <w:pStyle w:val="Heading2"/>
      </w:pPr>
      <w:r>
        <w:rPr>
          <w:rFonts w:ascii="Arial" w:cs="Arial" w:eastAsia="Arial" w:hAnsi="Arial"/>
        </w:rPr>
        <w:t xml:space="preserve">5.1 Model 1 — BERT Intent Classifier</w:t>
      </w:r>
    </w:p>
    <w:p>
      <w:pPr>
        <w:spacing w:after="100" w:before="80"/>
      </w:pPr>
      <w:r>
        <w:rPr>
          <w:rFonts w:ascii="Arial" w:cs="Arial" w:eastAsia="Arial" w:hAnsi="Arial"/>
          <w:color w:val="1A1A1A"/>
          <w:sz w:val="22"/>
          <w:szCs w:val="22"/>
        </w:rPr>
        <w:t xml:space="preserve">A pre-trained BERT-base-uncased model is fine-tuned on a manually labelled dataset of approximately 500 financial advisory questions. Labels cover four intent classes:</w:t>
      </w:r>
    </w:p>
    <w:p>
      <w:pPr>
        <w:pStyle w:val="ListParagraph"/>
        <w:numPr>
          <w:ilvl w:val="0"/>
          <w:numId w:val="2"/>
        </w:numPr>
        <w:spacing w:after="40" w:before="40"/>
      </w:pPr>
      <w:r>
        <w:rPr>
          <w:rFonts w:ascii="Arial" w:cs="Arial" w:eastAsia="Arial" w:hAnsi="Arial"/>
          <w:color w:val="1A1A1A"/>
          <w:sz w:val="21"/>
          <w:szCs w:val="21"/>
        </w:rPr>
        <w:t xml:space="preserve">RECOMMENDATION — officer is requesting a portfolio suggestion for a client.</w:t>
      </w:r>
    </w:p>
    <w:p>
      <w:pPr>
        <w:pStyle w:val="ListParagraph"/>
        <w:numPr>
          <w:ilvl w:val="0"/>
          <w:numId w:val="2"/>
        </w:numPr>
        <w:spacing w:after="40" w:before="40"/>
      </w:pPr>
      <w:r>
        <w:rPr>
          <w:rFonts w:ascii="Arial" w:cs="Arial" w:eastAsia="Arial" w:hAnsi="Arial"/>
          <w:color w:val="1A1A1A"/>
          <w:sz w:val="21"/>
          <w:szCs w:val="21"/>
        </w:rPr>
        <w:t xml:space="preserve">DATA_QUERY — officer is requesting structured data (returns, performance, comparison).</w:t>
      </w:r>
    </w:p>
    <w:p>
      <w:pPr>
        <w:pStyle w:val="ListParagraph"/>
        <w:numPr>
          <w:ilvl w:val="0"/>
          <w:numId w:val="2"/>
        </w:numPr>
        <w:spacing w:after="40" w:before="40"/>
      </w:pPr>
      <w:r>
        <w:rPr>
          <w:rFonts w:ascii="Arial" w:cs="Arial" w:eastAsia="Arial" w:hAnsi="Arial"/>
          <w:color w:val="1A1A1A"/>
          <w:sz w:val="21"/>
          <w:szCs w:val="21"/>
        </w:rPr>
        <w:t xml:space="preserve">QUALITATIVE — officer is requesting an explanation or qualitative description.</w:t>
      </w:r>
    </w:p>
    <w:p>
      <w:pPr>
        <w:pStyle w:val="ListParagraph"/>
        <w:numPr>
          <w:ilvl w:val="0"/>
          <w:numId w:val="2"/>
        </w:numPr>
        <w:spacing w:after="40" w:before="40"/>
      </w:pPr>
      <w:r>
        <w:rPr>
          <w:rFonts w:ascii="Arial" w:cs="Arial" w:eastAsia="Arial" w:hAnsi="Arial"/>
          <w:color w:val="1A1A1A"/>
          <w:sz w:val="21"/>
          <w:szCs w:val="21"/>
        </w:rPr>
        <w:t xml:space="preserve">CLARIFICATION — officer is asking a follow-up or disambiguation question.</w:t>
      </w:r>
    </w:p>
    <w:p>
      <w:pPr>
        <w:spacing w:after="0" w:before="80"/>
      </w:pPr>
    </w:p>
    <w:p>
      <w:pPr>
        <w:spacing w:after="100" w:before="80"/>
      </w:pPr>
      <w:r>
        <w:rPr>
          <w:rFonts w:ascii="Arial" w:cs="Arial" w:eastAsia="Arial" w:hAnsi="Arial"/>
          <w:color w:val="1A1A1A"/>
          <w:sz w:val="22"/>
          <w:szCs w:val="22"/>
        </w:rPr>
        <w:t xml:space="preserve">Training: 80/10/10 train/validation/test split. Optimiser: AdamW. Learning rate: 2e-5 with linear warmup. Epochs: 5. Evaluation metrics: accuracy, macro F1, confusion matrix.</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560A" w:sz="1"/>
              <w:left w:val="single" w:color="C0560A" w:sz="1"/>
              <w:bottom w:val="single" w:color="C0560A" w:sz="1"/>
              <w:right w:val="single" w:color="C0560A" w:sz="1"/>
            </w:tcBorders>
            <w:shd w:fill="FEF3E2" w:val="clear"/>
            <w:tcMar>
              <w:top w:type="dxa" w:w="120"/>
              <w:left w:type="dxa" w:w="180"/>
              <w:bottom w:type="dxa" w:w="120"/>
              <w:right w:type="dxa" w:w="180"/>
            </w:tcMar>
          </w:tcPr>
          <w:p>
            <w:pPr>
              <w:spacing w:after="60" w:before="0"/>
            </w:pPr>
            <w:r>
              <w:rPr>
                <w:rFonts w:ascii="Arial" w:cs="Arial" w:eastAsia="Arial" w:hAnsi="Arial"/>
                <w:b/>
                <w:bCs/>
                <w:color w:val="C0560A"/>
                <w:sz w:val="20"/>
                <w:szCs w:val="20"/>
              </w:rPr>
              <w:t xml:space="preserve">Benchmark:  </w:t>
            </w:r>
            <w:r>
              <w:rPr>
                <w:rFonts w:ascii="Arial" w:cs="Arial" w:eastAsia="Arial" w:hAnsi="Arial"/>
                <w:color w:val="1A1A1A"/>
                <w:sz w:val="20"/>
                <w:szCs w:val="20"/>
              </w:rPr>
              <w:t xml:space="preserve">Zero-shot classification using a prompted LLM (GPT-3.5-turbo or equivalent) vs our fine-tuned BERT. Expected outcome: fine-tuned BERT achieves higher accuracy on domain-specific phrasing.</w:t>
            </w:r>
          </w:p>
        </w:tc>
      </w:tr>
    </w:tbl>
    <w:p>
      <w:pPr>
        <w:pStyle w:val="Heading2"/>
      </w:pPr>
      <w:r>
        <w:rPr>
          <w:rFonts w:ascii="Arial" w:cs="Arial" w:eastAsia="Arial" w:hAnsi="Arial"/>
        </w:rPr>
        <w:t xml:space="preserve">5.2 Model 2 — Portfolio Recommendation Classifier</w:t>
      </w:r>
    </w:p>
    <w:p>
      <w:pPr>
        <w:spacing w:after="100" w:before="80"/>
      </w:pPr>
      <w:r>
        <w:rPr>
          <w:rFonts w:ascii="Arial" w:cs="Arial" w:eastAsia="Arial" w:hAnsi="Arial"/>
          <w:color w:val="1A1A1A"/>
          <w:sz w:val="22"/>
          <w:szCs w:val="22"/>
        </w:rPr>
        <w:t xml:space="preserve">A neural network trained on the synthetic client profile dataset maps client features to one of five portfolio labels. Architecture options under evaluation:</w:t>
      </w:r>
    </w:p>
    <w:p>
      <w:pPr>
        <w:pStyle w:val="ListParagraph"/>
        <w:numPr>
          <w:ilvl w:val="0"/>
          <w:numId w:val="2"/>
        </w:numPr>
        <w:spacing w:after="40" w:before="40"/>
      </w:pPr>
      <w:r>
        <w:rPr>
          <w:rFonts w:ascii="Arial" w:cs="Arial" w:eastAsia="Arial" w:hAnsi="Arial"/>
          <w:color w:val="1A1A1A"/>
          <w:sz w:val="21"/>
          <w:szCs w:val="21"/>
        </w:rPr>
        <w:t xml:space="preserve">Option A: Multi-Layer Perceptron (MLP) — 3 hidden layers, ReLU activations, dropout 0.3.</w:t>
      </w:r>
    </w:p>
    <w:p>
      <w:pPr>
        <w:pStyle w:val="ListParagraph"/>
        <w:numPr>
          <w:ilvl w:val="0"/>
          <w:numId w:val="2"/>
        </w:numPr>
        <w:spacing w:after="40" w:before="40"/>
      </w:pPr>
      <w:r>
        <w:rPr>
          <w:rFonts w:ascii="Arial" w:cs="Arial" w:eastAsia="Arial" w:hAnsi="Arial"/>
          <w:color w:val="1A1A1A"/>
          <w:sz w:val="21"/>
          <w:szCs w:val="21"/>
        </w:rPr>
        <w:t xml:space="preserve">Option B: LSTM over a sequence of client interaction history — treats advisory session as a time series.</w:t>
      </w:r>
    </w:p>
    <w:p>
      <w:pPr>
        <w:spacing w:after="0" w:before="80"/>
      </w:pPr>
    </w:p>
    <w:p>
      <w:pPr>
        <w:spacing w:after="100" w:before="80"/>
      </w:pPr>
      <w:r>
        <w:rPr>
          <w:rFonts w:ascii="Arial" w:cs="Arial" w:eastAsia="Arial" w:hAnsi="Arial"/>
          <w:color w:val="1A1A1A"/>
          <w:sz w:val="22"/>
          <w:szCs w:val="22"/>
        </w:rPr>
        <w:t xml:space="preserve">Input features: age (normalised), income bracket (ordinal encoded), risk tolerance (ordinal: 1-5), investment horizon (years), ESG preference (binary), existing equity/bond exposure (percentage). Output: 5-class softmax over portfolio archetypes.</w:t>
      </w:r>
    </w:p>
    <w:p>
      <w:pPr>
        <w:spacing w:after="0" w:before="80"/>
      </w:pPr>
    </w:p>
    <w:p>
      <w:pPr>
        <w:spacing w:after="100" w:before="80"/>
      </w:pPr>
      <w:r>
        <w:rPr>
          <w:rFonts w:ascii="Arial" w:cs="Arial" w:eastAsia="Arial" w:hAnsi="Arial"/>
          <w:color w:val="1A1A1A"/>
          <w:sz w:val="22"/>
          <w:szCs w:val="22"/>
        </w:rPr>
        <w:t xml:space="preserve">Evaluation metrics: macro F1, per-class precision and recall, confusion matrix. Overfitting analysis via training vs. validation loss curves. Hyperparameter tuning: learning rate, dropout, number of hidden units documented across runs.</w:t>
      </w:r>
    </w:p>
    <w:p>
      <w:pPr>
        <w:pStyle w:val="Heading2"/>
      </w:pPr>
      <w:r>
        <w:rPr>
          <w:rFonts w:ascii="Arial" w:cs="Arial" w:eastAsia="Arial" w:hAnsi="Arial"/>
        </w:rPr>
        <w:t xml:space="preserve">5.3 Model 3 — Text-to-SQL (T5-small fine-tuned)</w:t>
      </w:r>
    </w:p>
    <w:p>
      <w:pPr>
        <w:spacing w:after="100" w:before="80"/>
      </w:pPr>
      <w:r>
        <w:rPr>
          <w:rFonts w:ascii="Arial" w:cs="Arial" w:eastAsia="Arial" w:hAnsi="Arial"/>
          <w:color w:val="1A1A1A"/>
          <w:sz w:val="22"/>
          <w:szCs w:val="22"/>
        </w:rPr>
        <w:t xml:space="preserve">A T5-small model fine-tuned on the Spider dataset is used to translate the officer's data queries into executable SQL. The generated SQL is run against a SQLite database containing 10 years of ETF daily returns.</w:t>
      </w:r>
    </w:p>
    <w:p>
      <w:pPr>
        <w:spacing w:after="0" w:before="80"/>
      </w:pPr>
    </w:p>
    <w:p>
      <w:pPr>
        <w:spacing w:after="100" w:before="80"/>
      </w:pPr>
      <w:r>
        <w:rPr>
          <w:rFonts w:ascii="Arial" w:cs="Arial" w:eastAsia="Arial" w:hAnsi="Arial"/>
          <w:color w:val="1A1A1A"/>
          <w:sz w:val="22"/>
          <w:szCs w:val="22"/>
        </w:rPr>
        <w:t xml:space="preserve">Evaluation metrics: Exact Match accuracy (%), Execution Accuracy (% of queries that run without error and return a non-empty result). Benchmark: zero-shot GPT prompt vs fine-tuned T5.</w:t>
      </w:r>
    </w:p>
    <w:p>
      <w:pPr>
        <w:pStyle w:val="Heading2"/>
      </w:pPr>
      <w:r>
        <w:rPr>
          <w:rFonts w:ascii="Arial" w:cs="Arial" w:eastAsia="Arial" w:hAnsi="Arial"/>
        </w:rPr>
        <w:t xml:space="preserve">5.4 RAG Retrieval Layer</w:t>
      </w:r>
    </w:p>
    <w:p>
      <w:pPr>
        <w:spacing w:after="100" w:before="80"/>
      </w:pPr>
      <w:r>
        <w:rPr>
          <w:rFonts w:ascii="Arial" w:cs="Arial" w:eastAsia="Arial" w:hAnsi="Arial"/>
          <w:color w:val="1A1A1A"/>
          <w:sz w:val="22"/>
          <w:szCs w:val="22"/>
        </w:rPr>
        <w:t xml:space="preserve">Fund fact sheets, product descriptions, and FRED macro summaries are chunked (512 tokens, 50-token overlap) and embedded using sentence-transformers (all-MiniLM-L6-v2). Stored in a FAISS index. At inference, the top-3 retrieved chunks are injected into an LLM prompt to generate the qualitative answer.</w:t>
      </w:r>
    </w:p>
    <w:p>
      <w:pPr>
        <w:spacing w:after="0" w:before="80"/>
      </w:pPr>
    </w:p>
    <w:p>
      <w:pPr>
        <w:spacing w:after="100" w:before="80"/>
      </w:pPr>
      <w:r>
        <w:rPr>
          <w:rFonts w:ascii="Arial" w:cs="Arial" w:eastAsia="Arial" w:hAnsi="Arial"/>
          <w:color w:val="1A1A1A"/>
          <w:sz w:val="22"/>
          <w:szCs w:val="22"/>
        </w:rPr>
        <w:t xml:space="preserve">Evaluation metrics: MRR (Mean Reciprocal Rank), Recall@3, and manual spot-check of 30 queries by team members.</w:t>
      </w:r>
    </w:p>
    <w:p>
      <w:pPr>
        <w:pStyle w:val="Heading1"/>
      </w:pPr>
      <w:r>
        <w:rPr>
          <w:rFonts w:ascii="Arial" w:cs="Arial" w:eastAsia="Arial" w:hAnsi="Arial"/>
        </w:rPr>
        <w:t xml:space="preserve">6. Exploratory Data Analysis (EDA) Plan</w:t>
      </w:r>
    </w:p>
    <w:p>
      <w:pPr>
        <w:spacing w:after="100" w:before="80"/>
      </w:pPr>
      <w:r>
        <w:rPr>
          <w:rFonts w:ascii="Arial" w:cs="Arial" w:eastAsia="Arial" w:hAnsi="Arial"/>
          <w:color w:val="1A1A1A"/>
          <w:sz w:val="22"/>
          <w:szCs w:val="22"/>
        </w:rPr>
        <w:t xml:space="preserve">EDA is performed across all three primary datasets and documented in dedicated Jupyter notebooks included in the final submission.</w:t>
      </w:r>
    </w:p>
    <w:p>
      <w:pPr>
        <w:spacing w:after="0" w:before="80"/>
      </w:pPr>
    </w:p>
    <w:p>
      <w:pPr>
        <w:pStyle w:val="Heading3"/>
      </w:pPr>
      <w:r>
        <w:rPr>
          <w:rFonts w:ascii="Arial" w:cs="Arial" w:eastAsia="Arial" w:hAnsi="Arial"/>
        </w:rPr>
        <w:t xml:space="preserve">Synthetic Client Profiles</w:t>
      </w:r>
    </w:p>
    <w:p>
      <w:pPr>
        <w:pStyle w:val="ListParagraph"/>
        <w:numPr>
          <w:ilvl w:val="0"/>
          <w:numId w:val="2"/>
        </w:numPr>
        <w:spacing w:after="40" w:before="40"/>
      </w:pPr>
      <w:r>
        <w:rPr>
          <w:rFonts w:ascii="Arial" w:cs="Arial" w:eastAsia="Arial" w:hAnsi="Arial"/>
          <w:color w:val="1A1A1A"/>
          <w:sz w:val="21"/>
          <w:szCs w:val="21"/>
        </w:rPr>
        <w:t xml:space="preserve">Class distribution across five portfolio labels — verify balance before training.</w:t>
      </w:r>
    </w:p>
    <w:p>
      <w:pPr>
        <w:pStyle w:val="ListParagraph"/>
        <w:numPr>
          <w:ilvl w:val="0"/>
          <w:numId w:val="2"/>
        </w:numPr>
        <w:spacing w:after="40" w:before="40"/>
      </w:pPr>
      <w:r>
        <w:rPr>
          <w:rFonts w:ascii="Arial" w:cs="Arial" w:eastAsia="Arial" w:hAnsi="Arial"/>
          <w:color w:val="1A1A1A"/>
          <w:sz w:val="21"/>
          <w:szCs w:val="21"/>
        </w:rPr>
        <w:t xml:space="preserve">Feature distributions: age histogram, income bracket pie chart, risk tolerance bar chart.</w:t>
      </w:r>
    </w:p>
    <w:p>
      <w:pPr>
        <w:pStyle w:val="ListParagraph"/>
        <w:numPr>
          <w:ilvl w:val="0"/>
          <w:numId w:val="2"/>
        </w:numPr>
        <w:spacing w:after="40" w:before="40"/>
      </w:pPr>
      <w:r>
        <w:rPr>
          <w:rFonts w:ascii="Arial" w:cs="Arial" w:eastAsia="Arial" w:hAnsi="Arial"/>
          <w:color w:val="1A1A1A"/>
          <w:sz w:val="21"/>
          <w:szCs w:val="21"/>
        </w:rPr>
        <w:t xml:space="preserve">Correlation matrix across all numerical features.</w:t>
      </w:r>
    </w:p>
    <w:p>
      <w:pPr>
        <w:pStyle w:val="ListParagraph"/>
        <w:numPr>
          <w:ilvl w:val="0"/>
          <w:numId w:val="2"/>
        </w:numPr>
        <w:spacing w:after="40" w:before="40"/>
      </w:pPr>
      <w:r>
        <w:rPr>
          <w:rFonts w:ascii="Arial" w:cs="Arial" w:eastAsia="Arial" w:hAnsi="Arial"/>
          <w:color w:val="1A1A1A"/>
          <w:sz w:val="21"/>
          <w:szCs w:val="21"/>
        </w:rPr>
        <w:t xml:space="preserve">Pairplot of key feature interactions coloured by portfolio label.</w:t>
      </w:r>
    </w:p>
    <w:p>
      <w:pPr>
        <w:spacing w:after="0" w:before="80"/>
      </w:pPr>
    </w:p>
    <w:p>
      <w:pPr>
        <w:pStyle w:val="Heading3"/>
      </w:pPr>
      <w:r>
        <w:rPr>
          <w:rFonts w:ascii="Arial" w:cs="Arial" w:eastAsia="Arial" w:hAnsi="Arial"/>
        </w:rPr>
        <w:t xml:space="preserve">ETF Historic Returns (yfinance)</w:t>
      </w:r>
    </w:p>
    <w:p>
      <w:pPr>
        <w:pStyle w:val="ListParagraph"/>
        <w:numPr>
          <w:ilvl w:val="0"/>
          <w:numId w:val="2"/>
        </w:numPr>
        <w:spacing w:after="40" w:before="40"/>
      </w:pPr>
      <w:r>
        <w:rPr>
          <w:rFonts w:ascii="Arial" w:cs="Arial" w:eastAsia="Arial" w:hAnsi="Arial"/>
          <w:color w:val="1A1A1A"/>
          <w:sz w:val="21"/>
          <w:szCs w:val="21"/>
        </w:rPr>
        <w:t xml:space="preserve">Annual and 10-year CAGR per ETF (SPY, AGG, ESGV, VNQ, GLD).</w:t>
      </w:r>
    </w:p>
    <w:p>
      <w:pPr>
        <w:pStyle w:val="ListParagraph"/>
        <w:numPr>
          <w:ilvl w:val="0"/>
          <w:numId w:val="2"/>
        </w:numPr>
        <w:spacing w:after="40" w:before="40"/>
      </w:pPr>
      <w:r>
        <w:rPr>
          <w:rFonts w:ascii="Arial" w:cs="Arial" w:eastAsia="Arial" w:hAnsi="Arial"/>
          <w:color w:val="1A1A1A"/>
          <w:sz w:val="21"/>
          <w:szCs w:val="21"/>
        </w:rPr>
        <w:t xml:space="preserve">Rolling 12-month volatility and Sharpe ratio time series.</w:t>
      </w:r>
    </w:p>
    <w:p>
      <w:pPr>
        <w:pStyle w:val="ListParagraph"/>
        <w:numPr>
          <w:ilvl w:val="0"/>
          <w:numId w:val="2"/>
        </w:numPr>
        <w:spacing w:after="40" w:before="40"/>
      </w:pPr>
      <w:r>
        <w:rPr>
          <w:rFonts w:ascii="Arial" w:cs="Arial" w:eastAsia="Arial" w:hAnsi="Arial"/>
          <w:color w:val="1A1A1A"/>
          <w:sz w:val="21"/>
          <w:szCs w:val="21"/>
        </w:rPr>
        <w:t xml:space="preserve">Inter-asset correlation matrix — crucial for portfolio construction rationale.</w:t>
      </w:r>
    </w:p>
    <w:p>
      <w:pPr>
        <w:pStyle w:val="ListParagraph"/>
        <w:numPr>
          <w:ilvl w:val="0"/>
          <w:numId w:val="2"/>
        </w:numPr>
        <w:spacing w:after="40" w:before="40"/>
      </w:pPr>
      <w:r>
        <w:rPr>
          <w:rFonts w:ascii="Arial" w:cs="Arial" w:eastAsia="Arial" w:hAnsi="Arial"/>
          <w:color w:val="1A1A1A"/>
          <w:sz w:val="21"/>
          <w:szCs w:val="21"/>
        </w:rPr>
        <w:t xml:space="preserve">Drawdown analysis: maximum drawdown per portfolio proxy.</w:t>
      </w:r>
    </w:p>
    <w:p>
      <w:pPr>
        <w:spacing w:after="0" w:before="80"/>
      </w:pPr>
    </w:p>
    <w:p>
      <w:pPr>
        <w:pStyle w:val="Heading3"/>
      </w:pPr>
      <w:r>
        <w:rPr>
          <w:rFonts w:ascii="Arial" w:cs="Arial" w:eastAsia="Arial" w:hAnsi="Arial"/>
        </w:rPr>
        <w:t xml:space="preserve">Spider / Intent Label Dataset</w:t>
      </w:r>
    </w:p>
    <w:p>
      <w:pPr>
        <w:pStyle w:val="ListParagraph"/>
        <w:numPr>
          <w:ilvl w:val="0"/>
          <w:numId w:val="2"/>
        </w:numPr>
        <w:spacing w:after="40" w:before="40"/>
      </w:pPr>
      <w:r>
        <w:rPr>
          <w:rFonts w:ascii="Arial" w:cs="Arial" w:eastAsia="Arial" w:hAnsi="Arial"/>
          <w:color w:val="1A1A1A"/>
          <w:sz w:val="21"/>
          <w:szCs w:val="21"/>
        </w:rPr>
        <w:t xml:space="preserve">Distribution of intent classes in the labelled financial advisory dataset.</w:t>
      </w:r>
    </w:p>
    <w:p>
      <w:pPr>
        <w:pStyle w:val="ListParagraph"/>
        <w:numPr>
          <w:ilvl w:val="0"/>
          <w:numId w:val="2"/>
        </w:numPr>
        <w:spacing w:after="40" w:before="40"/>
      </w:pPr>
      <w:r>
        <w:rPr>
          <w:rFonts w:ascii="Arial" w:cs="Arial" w:eastAsia="Arial" w:hAnsi="Arial"/>
          <w:color w:val="1A1A1A"/>
          <w:sz w:val="21"/>
          <w:szCs w:val="21"/>
        </w:rPr>
        <w:t xml:space="preserve">Query length distribution (word count histogram).</w:t>
      </w:r>
    </w:p>
    <w:p>
      <w:pPr>
        <w:pStyle w:val="ListParagraph"/>
        <w:numPr>
          <w:ilvl w:val="0"/>
          <w:numId w:val="2"/>
        </w:numPr>
        <w:spacing w:after="40" w:before="40"/>
      </w:pPr>
      <w:r>
        <w:rPr>
          <w:rFonts w:ascii="Arial" w:cs="Arial" w:eastAsia="Arial" w:hAnsi="Arial"/>
          <w:color w:val="1A1A1A"/>
          <w:sz w:val="21"/>
          <w:szCs w:val="21"/>
        </w:rPr>
        <w:t xml:space="preserve">Most frequent entity types (age, amount, horizon, ESG) and their extraction recall.</w:t>
      </w:r>
    </w:p>
    <w:p>
      <w:pPr>
        <w:pStyle w:val="Heading1"/>
      </w:pPr>
      <w:r>
        <w:rPr>
          <w:rFonts w:ascii="Arial" w:cs="Arial" w:eastAsia="Arial" w:hAnsi="Arial"/>
        </w:rPr>
        <w:t xml:space="preserve">7. Team Workstreams &amp; Responsibilities</w:t>
      </w:r>
    </w:p>
    <w:p>
      <w:pPr>
        <w:spacing w:after="100" w:before="80"/>
      </w:pPr>
      <w:r>
        <w:rPr>
          <w:rFonts w:ascii="Arial" w:cs="Arial" w:eastAsia="Arial" w:hAnsi="Arial"/>
          <w:color w:val="1A1A1A"/>
          <w:sz w:val="22"/>
          <w:szCs w:val="22"/>
        </w:rPr>
        <w:t xml:space="preserve">Each team member is responsible for one primary workstream. The project manager is responsible for cross-workstream integration and final delivery. All members contribute to the report and presentation.</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2E75B6" w:sz="1"/>
              <w:left w:val="single" w:color="2E75B6" w:sz="1"/>
              <w:bottom w:val="single" w:color="2E75B6" w:sz="1"/>
              <w:right w:val="single" w:color="2E75B6"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Workstream</w:t>
            </w:r>
          </w:p>
        </w:tc>
        <w:tc>
          <w:tcPr>
            <w:tcW w:type="dxa" w:w="7280"/>
            <w:tcBorders>
              <w:top w:val="single" w:color="2E75B6" w:sz="1"/>
              <w:left w:val="single" w:color="2E75B6" w:sz="1"/>
              <w:bottom w:val="single" w:color="2E75B6" w:sz="1"/>
              <w:right w:val="single" w:color="2E75B6"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80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r>
              <w:rPr>
                <w:rFonts w:ascii="Arial" w:cs="Arial" w:eastAsia="Arial" w:hAnsi="Arial"/>
                <w:b/>
                <w:bCs/>
                <w:color w:val="1B4F8A"/>
                <w:sz w:val="20"/>
                <w:szCs w:val="20"/>
              </w:rPr>
              <w:t xml:space="preserve">PM · RAG · Router · Output  (Solo)</w:t>
            </w:r>
          </w:p>
        </w:tc>
        <w:tc>
          <w:tcPr>
            <w:tcW w:type="dxa" w:w="728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r>
              <w:rPr>
                <w:rFonts w:ascii="Arial" w:cs="Arial" w:eastAsia="Arial" w:hAnsi="Arial"/>
                <w:color w:val="1A1A1A"/>
                <w:sz w:val="20"/>
                <w:szCs w:val="20"/>
              </w:rPr>
              <w:t xml:space="preserve">Project Manager. Owns the Query Router, RAG store (FAISS + sentence-transformers), and output formatter (text, tables, Matplotlib charts). Merges all branches into the runnable pipeline by Day 5. Coordinates daily standups and tracks blockers. Leads the end-to-end demo on Day 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BERT Intent Classifier  (Pair A)</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Fine-tune bert-base-uncased on the 500-sample intent dataset (already generated). Four classes: RECOMMENDATION, DATA_QUERY, QUALITATIVE, CLARIFICATION. Deliver: training notebook, loss curve, accuracy + macro F1, confusion matrix. Integrate output with the router by Day 5.</w:t>
            </w:r>
          </w:p>
        </w:tc>
      </w:tr>
      <w:tr>
        <w:tc>
          <w:tcPr>
            <w:tcW w:type="dxa" w:w="280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r>
              <w:rPr>
                <w:rFonts w:ascii="Arial" w:cs="Arial" w:eastAsia="Arial" w:hAnsi="Arial"/>
                <w:b/>
                <w:bCs/>
                <w:color w:val="1B4F8A"/>
                <w:sz w:val="20"/>
                <w:szCs w:val="20"/>
              </w:rPr>
              <w:t xml:space="preserve">Entity Extractor · Model Eval  (Pair A)</w:t>
            </w:r>
          </w:p>
        </w:tc>
        <w:tc>
          <w:tcPr>
            <w:tcW w:type="dxa" w:w="728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r>
              <w:rPr>
                <w:rFonts w:ascii="Arial" w:cs="Arial" w:eastAsia="Arial" w:hAnsi="Arial"/>
                <w:color w:val="1A1A1A"/>
                <w:sz w:val="20"/>
                <w:szCs w:val="20"/>
              </w:rPr>
              <w:t xml:space="preserve">Build the NER layer to extract client features (age, risk, amount, horizon, ESG) from free-text using spaCy or a regex-backed rule engine. Own model evaluation across all three models — produce consistent metrics tables for the report. Support Pair A counterpart on BERT iterations.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T5 Text-to-SQL Fine-tuning  (Pair B)</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Fine-tune t5-small on the 198-pair finance text-to-SQL dataset (already generated), supplemented by a Spider finance subset. Evaluate: Exact Match %, Execution Accuracy %. Benchmark zero-shot GPT prompt vs fine-tuned T5. Integrate with SQL executor by Day 5.</w:t>
            </w:r>
          </w:p>
        </w:tc>
      </w:tr>
      <w:tr>
        <w:tc>
          <w:tcPr>
            <w:tcW w:type="dxa" w:w="280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r>
              <w:rPr>
                <w:rFonts w:ascii="Arial" w:cs="Arial" w:eastAsia="Arial" w:hAnsi="Arial"/>
                <w:b/>
                <w:bCs/>
                <w:color w:val="1B4F8A"/>
                <w:sz w:val="20"/>
                <w:szCs w:val="20"/>
              </w:rPr>
              <w:t xml:space="preserve">SQLite · Query Execution · Charts  (Pair B)</w:t>
            </w:r>
          </w:p>
        </w:tc>
        <w:tc>
          <w:tcPr>
            <w:tcW w:type="dxa" w:w="728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r>
              <w:rPr>
                <w:rFonts w:ascii="Arial" w:cs="Arial" w:eastAsia="Arial" w:hAnsi="Arial"/>
                <w:color w:val="1A1A1A"/>
                <w:sz w:val="20"/>
                <w:szCs w:val="20"/>
              </w:rPr>
              <w:t xml:space="preserve">Own the SQLite database (etf_returns.db — already built). Write the SQL execution layer with error handling and fallback prompting. Build the chart generator: detect chart intent from query result shape and produce Matplotlib line, bar, and table outputs. Support Pair B counterpart on T5 iterations.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Portfolio Classifier · EDA · Report  (Solo)</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Train the portfolio recommendation MLP (or LSTM) on synthetic_client_profiles.csv (5,000 rows, already generated). Produce three EDA notebooks: client profiles, ETF returns, intent dataset. Lead report writing — own the Background, Dataset, Results, and Conclusions sections. Compile final submission zip on Day 10.</w:t>
            </w:r>
          </w:p>
        </w:tc>
      </w:tr>
    </w:tbl>
    <w:p>
      <w:pPr>
        <w:spacing w:after="0"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1"/>
              <w:left w:val="single" w:color="2E75B6" w:sz="1"/>
              <w:bottom w:val="single" w:color="2E75B6" w:sz="1"/>
              <w:right w:val="single" w:color="2E75B6" w:sz="1"/>
            </w:tcBorders>
            <w:shd w:fill="E8F2FD" w:val="clear"/>
            <w:tcMar>
              <w:top w:type="dxa" w:w="120"/>
              <w:left w:type="dxa" w:w="180"/>
              <w:bottom w:type="dxa" w:w="120"/>
              <w:right w:type="dxa" w:w="180"/>
            </w:tcMar>
          </w:tcPr>
          <w:p>
            <w:pPr>
              <w:spacing w:after="60" w:before="0"/>
            </w:pPr>
            <w:r>
              <w:rPr>
                <w:rFonts w:ascii="Arial" w:cs="Arial" w:eastAsia="Arial" w:hAnsi="Arial"/>
                <w:b/>
                <w:bCs/>
                <w:color w:val="1B4F8A"/>
                <w:sz w:val="20"/>
                <w:szCs w:val="20"/>
              </w:rPr>
              <w:t xml:space="preserve">Note on Parallel Work:  </w:t>
            </w:r>
            <w:r>
              <w:rPr>
                <w:rFonts w:ascii="Arial" w:cs="Arial" w:eastAsia="Arial" w:hAnsi="Arial"/>
                <w:color w:val="1A1A1A"/>
                <w:sz w:val="20"/>
                <w:szCs w:val="20"/>
              </w:rPr>
              <w:t xml:space="preserve">Workstreams 2 (Portfolio Classifier) and 3 (Text-to-SQL) can proceed in parallel from Week 1. Workstream 5 (RAG Store) can begin in parallel with Week 2. Integration (Workstream 1) begins in Week 4 once all branches have a working baseline.</w:t>
            </w:r>
          </w:p>
        </w:tc>
      </w:tr>
    </w:tbl>
    <w:p>
      <w:pPr>
        <w:pStyle w:val="Heading1"/>
      </w:pPr>
      <w:r>
        <w:rPr>
          <w:rFonts w:ascii="Arial" w:cs="Arial" w:eastAsia="Arial" w:hAnsi="Arial"/>
        </w:rPr>
        <w:t xml:space="preserve">8. Rubric Alignment</w:t>
      </w:r>
    </w:p>
    <w:p>
      <w:pPr>
        <w:spacing w:after="100" w:before="80"/>
      </w:pPr>
      <w:r>
        <w:rPr>
          <w:rFonts w:ascii="Arial" w:cs="Arial" w:eastAsia="Arial" w:hAnsi="Arial"/>
          <w:color w:val="1A1A1A"/>
          <w:sz w:val="22"/>
          <w:szCs w:val="22"/>
        </w:rPr>
        <w:t xml:space="preserve">The table below maps each grading criterion from the AASD 4010 rubric to our implementation approach. The target grade across all criteria is Excellent.</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920"/>
      </w:tblGrid>
      <w:tr>
        <w:trPr>
          <w:tblHeader/>
        </w:trPr>
        <w:tc>
          <w:tcPr>
            <w:tcW w:type="dxa" w:w="2400"/>
            <w:tcBorders>
              <w:top w:val="single" w:color="2E75B6" w:sz="1"/>
              <w:left w:val="single" w:color="2E75B6" w:sz="1"/>
              <w:bottom w:val="single" w:color="2E75B6" w:sz="1"/>
              <w:right w:val="single" w:color="2E75B6"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Rubric Criterion</w:t>
            </w:r>
          </w:p>
        </w:tc>
        <w:tc>
          <w:tcPr>
            <w:tcW w:type="dxa" w:w="5760"/>
            <w:tcBorders>
              <w:top w:val="single" w:color="2E75B6" w:sz="1"/>
              <w:left w:val="single" w:color="2E75B6" w:sz="1"/>
              <w:bottom w:val="single" w:color="2E75B6" w:sz="1"/>
              <w:right w:val="single" w:color="2E75B6"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How We Address It</w:t>
            </w:r>
          </w:p>
        </w:tc>
        <w:tc>
          <w:tcPr>
            <w:tcW w:type="dxa" w:w="1920"/>
            <w:tcBorders>
              <w:top w:val="single" w:color="2E75B6" w:sz="1"/>
              <w:left w:val="single" w:color="2E75B6" w:sz="1"/>
              <w:bottom w:val="single" w:color="2E75B6" w:sz="1"/>
              <w:right w:val="single" w:color="2E75B6"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Target Grade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20"/>
                <w:szCs w:val="20"/>
              </w:rPr>
              <w:t xml:space="preserve">Comprehensive Project Design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Detailed problem statement with real-world banking persona. Three model types (BERT classifier, T5 Text-to-SQL, RAG retrieval) justified and innovative. Group roles clearly documented.</w:t>
            </w:r>
          </w:p>
        </w:tc>
        <w:tc>
          <w:tcPr>
            <w:tcW w:type="dxa" w:w="19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6B31"/>
                <w:sz w:val="20"/>
                <w:szCs w:val="20"/>
              </w:rPr>
              <w:t xml:space="preserve">Excellent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20"/>
                <w:szCs w:val="20"/>
              </w:rPr>
              <w:t xml:space="preserve">Training Requirement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Two fine-tuned models with full training loops: (1) BERT intent classifier, (2) Portfolio recommendation MLP/LSTM. Loss curves, validation accuracy, and benchmark comparisons included.</w:t>
            </w:r>
          </w:p>
        </w:tc>
        <w:tc>
          <w:tcPr>
            <w:tcW w:type="dxa" w:w="19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6B31"/>
                <w:sz w:val="20"/>
                <w:szCs w:val="20"/>
              </w:rPr>
              <w:t xml:space="preserve">Excellent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20"/>
                <w:szCs w:val="20"/>
              </w:rPr>
              <w:t xml:space="preserve">EDA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Three EDA notebooks: synthetic client profiles (class balance, feature distributions), ETF historic returns (correlation matrix, return distributions), Spider query pairs (intent type frequency).</w:t>
            </w:r>
          </w:p>
        </w:tc>
        <w:tc>
          <w:tcPr>
            <w:tcW w:type="dxa" w:w="19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6B31"/>
                <w:sz w:val="20"/>
                <w:szCs w:val="20"/>
              </w:rPr>
              <w:t xml:space="preserve">Excellent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20"/>
                <w:szCs w:val="20"/>
              </w:rPr>
              <w:t xml:space="preserve">Model Evaluation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Intent classifier: accuracy, F1, confusion matrix. Portfolio classifier: F1, precision/recall per class. Text-to-SQL: exact match %, execution accuracy %. RAG: MRR, Recall@k.</w:t>
            </w:r>
          </w:p>
        </w:tc>
        <w:tc>
          <w:tcPr>
            <w:tcW w:type="dxa" w:w="19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6B31"/>
                <w:sz w:val="20"/>
                <w:szCs w:val="20"/>
              </w:rPr>
              <w:t xml:space="preserve">Excellent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20"/>
                <w:szCs w:val="20"/>
              </w:rPr>
              <w:t xml:space="preserve">Real-World Relevance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Banking and investment advisory is a live industry application. Demo-able with real ETF data from Yahoo Finance. Directly applicable to Pistac.io financial risk domain.</w:t>
            </w:r>
          </w:p>
        </w:tc>
        <w:tc>
          <w:tcPr>
            <w:tcW w:type="dxa" w:w="19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6B31"/>
                <w:sz w:val="20"/>
                <w:szCs w:val="20"/>
              </w:rPr>
              <w:t xml:space="preserve">Excellent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4F8A"/>
                <w:sz w:val="20"/>
                <w:szCs w:val="20"/>
              </w:rPr>
              <w:t xml:space="preserve">Report Quality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required sections covered. Individual contribution table at opening. Visualisations integrated throughout. Reflection on what would be done differently.</w:t>
            </w:r>
          </w:p>
        </w:tc>
        <w:tc>
          <w:tcPr>
            <w:tcW w:type="dxa" w:w="19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6B31"/>
                <w:sz w:val="20"/>
                <w:szCs w:val="20"/>
              </w:rPr>
              <w:t xml:space="preserve">Excellent</w:t>
            </w:r>
          </w:p>
        </w:tc>
      </w:tr>
    </w:tbl>
    <w:p>
      <w:pPr>
        <w:pStyle w:val="Heading1"/>
      </w:pPr>
      <w:r>
        <w:rPr>
          <w:rFonts w:ascii="Arial" w:cs="Arial" w:eastAsia="Arial" w:hAnsi="Arial"/>
        </w:rPr>
        <w:t xml:space="preserve">9. Project Timeline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780"/>
      </w:tblGrid>
      <w:tr>
        <w:trPr>
          <w:tblHeader/>
        </w:trPr>
        <w:tc>
          <w:tcPr>
            <w:tcW w:type="dxa" w:w="1100"/>
            <w:tcBorders>
              <w:top w:val="single" w:color="2E75B6" w:sz="1"/>
              <w:left w:val="single" w:color="2E75B6" w:sz="1"/>
              <w:bottom w:val="single" w:color="2E75B6" w:sz="1"/>
              <w:right w:val="single" w:color="2E75B6"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200"/>
            <w:tcBorders>
              <w:top w:val="single" w:color="2E75B6" w:sz="1"/>
              <w:left w:val="single" w:color="2E75B6" w:sz="1"/>
              <w:bottom w:val="single" w:color="2E75B6" w:sz="1"/>
              <w:right w:val="single" w:color="2E75B6"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6780"/>
            <w:tcBorders>
              <w:top w:val="single" w:color="2E75B6" w:sz="1"/>
              <w:left w:val="single" w:color="2E75B6" w:sz="1"/>
              <w:bottom w:val="single" w:color="2E75B6" w:sz="1"/>
              <w:right w:val="single" w:color="2E75B6"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Activities &amp; Deliverables (4-6 hrs)</w:t>
            </w:r>
          </w:p>
        </w:tc>
      </w:tr>
      <w:tr>
        <w:tc>
          <w:tcPr>
            <w:tcW w:type="dxa" w:w="110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Day 1</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20"/>
                <w:szCs w:val="20"/>
              </w:rPr>
              <w:t xml:space="preserve">Kickoff</w:t>
            </w:r>
          </w:p>
        </w:tc>
        <w:tc>
          <w:tcPr>
            <w:tcW w:type="dxa" w:w="678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r>
              <w:rPr>
                <w:rFonts w:ascii="Arial" w:cs="Arial" w:eastAsia="Arial" w:hAnsi="Arial"/>
                <w:color w:val="1A1A1A"/>
                <w:sz w:val="20"/>
                <w:szCs w:val="20"/>
              </w:rPr>
              <w:t xml:space="preserve">4–6 hrs. All members. Clone repo, set up Python environment (venv + requirements.txt), explore all generated datasets in Jupyter. PM assigns workstreams and creates GitHub project board. Agree on branch naming and PR convention. Use Cursor + Claude Code to scaffold folder structure and boilerplate notebooks.</w:t>
            </w:r>
          </w:p>
        </w:tc>
      </w:tr>
      <w:tr>
        <w:tc>
          <w:tcPr>
            <w:tcW w:type="dxa" w:w="110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Day 2</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20"/>
                <w:szCs w:val="20"/>
              </w:rPr>
              <w:t xml:space="preserve">Parallel Build</w:t>
            </w:r>
          </w:p>
        </w:tc>
        <w:tc>
          <w:tcPr>
            <w:tcW w:type="dxa" w:w="6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4–6 hrs. Pair A: label a first batch of 200 intent samples; run BERT tokenisation check. Pair B: explore Spider finance schemas; wire SQLite executor and test 10 manual SQL queries against etf_returns.db. Solo (Portfolio): run full EDA on client profiles — class balance, correlation matrix, pairplot. PM/Solo: design router interface contract; chunk and embed first 20 RAG documents into FAISS.</w:t>
            </w:r>
          </w:p>
        </w:tc>
      </w:tr>
      <w:tr>
        <w:tc>
          <w:tcPr>
            <w:tcW w:type="dxa" w:w="110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Day 3</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20"/>
                <w:szCs w:val="20"/>
              </w:rPr>
              <w:t xml:space="preserve">First Training</w:t>
            </w:r>
          </w:p>
        </w:tc>
        <w:tc>
          <w:tcPr>
            <w:tcW w:type="dxa" w:w="678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r>
              <w:rPr>
                <w:rFonts w:ascii="Arial" w:cs="Arial" w:eastAsia="Arial" w:hAnsi="Arial"/>
                <w:color w:val="1A1A1A"/>
                <w:sz w:val="20"/>
                <w:szCs w:val="20"/>
              </w:rPr>
              <w:t xml:space="preserve">4–6 hrs. Pair A: first BERT fine-tuning run (3 epochs); log loss curve; record baseline F1. Pair B: first T5 fine-tuning run on 198-pair finance set; test Exact Match on holdout. Solo (Portfolio): train MLP v1; record confusion matrix; start hyperparameter log. PM: connect FAISS retrieval end-to-end; build router stub that calls correct branch by intent class.</w:t>
            </w:r>
          </w:p>
        </w:tc>
      </w:tr>
      <w:tr>
        <w:tc>
          <w:tcPr>
            <w:tcW w:type="dxa" w:w="110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Day 4</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20"/>
                <w:szCs w:val="20"/>
              </w:rPr>
              <w:t xml:space="preserve">Iterate + Improve</w:t>
            </w:r>
          </w:p>
        </w:tc>
        <w:tc>
          <w:tcPr>
            <w:tcW w:type="dxa" w:w="6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4–6 hrs. All models get a second training pass based on Day 3 results. Pair A refines BERT with full 500-sample set and adjusts learning rate. Pair B augments T5 training with Spider finance subset for better JOIN coverage. Solo (Portfolio) tries LSTM alternative and compares to MLP. PM wires output formatter: plain text + Matplotlib chart selector. Use Claude Code to auto-generate boilerplate evaluation scripts.</w:t>
            </w:r>
          </w:p>
        </w:tc>
      </w:tr>
      <w:tr>
        <w:tc>
          <w:tcPr>
            <w:tcW w:type="dxa" w:w="110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Day 5</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20"/>
                <w:szCs w:val="20"/>
              </w:rPr>
              <w:t xml:space="preserve">Integration Day</w:t>
            </w:r>
          </w:p>
        </w:tc>
        <w:tc>
          <w:tcPr>
            <w:tcW w:type="dxa" w:w="678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r>
              <w:rPr>
                <w:rFonts w:ascii="Arial" w:cs="Arial" w:eastAsia="Arial" w:hAnsi="Arial"/>
                <w:color w:val="1A1A1A"/>
                <w:sz w:val="20"/>
                <w:szCs w:val="20"/>
              </w:rPr>
              <w:t xml:space="preserve">4–6 hrs. PM merges all branches into main pipeline. End-to-end smoke test: 10 curated queries covering all 4 intent classes. Document every failure mode. Each member fixes their own branch blockers by EOD. Target: the full pipeline responds without errors to all 10 test queries before Day 6.</w:t>
            </w:r>
          </w:p>
        </w:tc>
      </w:tr>
      <w:tr>
        <w:tc>
          <w:tcPr>
            <w:tcW w:type="dxa" w:w="110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Day 6</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20"/>
                <w:szCs w:val="20"/>
              </w:rPr>
              <w:t xml:space="preserve">Polish + Edge Cases</w:t>
            </w:r>
          </w:p>
        </w:tc>
        <w:tc>
          <w:tcPr>
            <w:tcW w:type="dxa" w:w="6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4–6 hrs. Pair A: handle ambiguous/multi-intent queries; add confidence threshold. Pair B: add SQL error recovery (re-prompt on syntax error); expand chart types (bar, line, table auto-select). Solo (Portfolio): finalise EDA notebooks; write report sections for Dataset and Model. PM: run 30-query stress test; log failures; fix router edge cases.</w:t>
            </w:r>
          </w:p>
        </w:tc>
      </w:tr>
      <w:tr>
        <w:tc>
          <w:tcPr>
            <w:tcW w:type="dxa" w:w="110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Day 7</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20"/>
                <w:szCs w:val="20"/>
              </w:rPr>
              <w:t xml:space="preserve">Demo Build</w:t>
            </w:r>
          </w:p>
        </w:tc>
        <w:tc>
          <w:tcPr>
            <w:tcW w:type="dxa" w:w="678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r>
              <w:rPr>
                <w:rFonts w:ascii="Arial" w:cs="Arial" w:eastAsia="Arial" w:hAnsi="Arial"/>
                <w:color w:val="1A1A1A"/>
                <w:sz w:val="20"/>
                <w:szCs w:val="20"/>
              </w:rPr>
              <w:t xml:space="preserve">4–6 hrs. All members run full 20+ query demo walkthrough. Identify and fix top 5 failure cases. Solo (Portfolio) completes report draft (all sections except Results). Pair A + B write their model comparison narrative. PM prepares slide deck skeleton. Use Cursor to clean up all code for readability (docstrings, type hints, remove debug prints).</w:t>
            </w:r>
          </w:p>
        </w:tc>
      </w:tr>
      <w:tr>
        <w:tc>
          <w:tcPr>
            <w:tcW w:type="dxa" w:w="110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Day 8</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B4F8A"/>
                <w:sz w:val="20"/>
                <w:szCs w:val="20"/>
              </w:rPr>
              <w:t xml:space="preserve">Report + Rehearsal</w:t>
            </w:r>
          </w:p>
        </w:tc>
        <w:tc>
          <w:tcPr>
            <w:tcW w:type="dxa" w:w="6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4–6 hrs. Report writing sprint — all members contribute their sections. PM compiles into final report template. First full 15-minute presentation rehearsal (internal). Time each section. Identify slides that run long. Final code review: ensure all notebooks run clean from top to bottom. Contribution table filled in precisely.</w:t>
            </w:r>
          </w:p>
        </w:tc>
      </w:tr>
      <w:tr>
        <w:tc>
          <w:tcPr>
            <w:tcW w:type="dxa" w:w="110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Day 9</w:t>
            </w:r>
          </w:p>
        </w:tc>
        <w:tc>
          <w:tcPr>
            <w:tcW w:type="dxa" w:w="22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vAlign w:val="center"/>
          </w:tcPr>
          <w:p>
            <w:r>
              <w:rPr>
                <w:rFonts w:ascii="Arial" w:cs="Arial" w:eastAsia="Arial" w:hAnsi="Arial"/>
                <w:b/>
                <w:bCs/>
                <w:color w:val="1A1A1A"/>
                <w:sz w:val="20"/>
                <w:szCs w:val="20"/>
              </w:rPr>
              <w:t xml:space="preserve">PRESENTATION</w:t>
            </w:r>
          </w:p>
        </w:tc>
        <w:tc>
          <w:tcPr>
            <w:tcW w:type="dxa" w:w="6780"/>
            <w:tcBorders>
              <w:top w:val="single" w:color="CCCCCC" w:sz="1"/>
              <w:left w:val="single" w:color="CCCCCC" w:sz="1"/>
              <w:bottom w:val="single" w:color="CCCCCC" w:sz="1"/>
              <w:right w:val="single" w:color="CCCCCC" w:sz="1"/>
            </w:tcBorders>
            <w:shd w:fill="E8F2FD" w:val="clear"/>
            <w:tcMar>
              <w:top w:type="dxa" w:w="80"/>
              <w:left w:type="dxa" w:w="120"/>
              <w:bottom w:type="dxa" w:w="80"/>
              <w:right w:type="dxa" w:w="120"/>
            </w:tcMar>
          </w:tcPr>
          <w:p>
            <w:r>
              <w:rPr>
                <w:rFonts w:ascii="Arial" w:cs="Arial" w:eastAsia="Arial" w:hAnsi="Arial"/>
                <w:color w:val="1A1A1A"/>
                <w:sz w:val="20"/>
                <w:szCs w:val="20"/>
              </w:rPr>
              <w:t xml:space="preserve">Live class presentation. 15 minutes + 5 minutes Q&amp;A. Demo the end-to-end pipeline with 3 live queries: one RECOMMENDATION, one DATA_QUERY with chart, one QUALITATIVE via RAG. PM presents architecture. Each member presents their model/component results. Do not change any code after this point.</w:t>
            </w:r>
          </w:p>
        </w:tc>
      </w:tr>
      <w:tr>
        <w:tc>
          <w:tcPr>
            <w:tcW w:type="dxa" w:w="1100"/>
            <w:tcBorders>
              <w:top w:val="single" w:color="CCCCCC" w:sz="1"/>
              <w:left w:val="single" w:color="CCCCCC" w:sz="1"/>
              <w:bottom w:val="single" w:color="CCCCCC" w:sz="1"/>
              <w:right w:val="single" w:color="CCCCCC" w:sz="1"/>
            </w:tcBorders>
            <w:shd w:fill="1E6B3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Day 10</w:t>
            </w:r>
          </w:p>
        </w:tc>
        <w:tc>
          <w:tcPr>
            <w:tcW w:type="dxa" w:w="2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Arial" w:cs="Arial" w:eastAsia="Arial" w:hAnsi="Arial"/>
                <w:b/>
                <w:bCs/>
                <w:color w:val="1E6B31"/>
                <w:sz w:val="20"/>
                <w:szCs w:val="20"/>
              </w:rPr>
              <w:t xml:space="preserve">Final Submission</w:t>
            </w:r>
          </w:p>
        </w:tc>
        <w:tc>
          <w:tcPr>
            <w:tcW w:type="dxa" w:w="6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Final polish only — no new features. Run all notebooks top-to-bottom one last time. Verify all file paths are relative. Solo (Portfolio) compiles zip: /data + /notebooks + /models + /rag + /output + /report + /slides. PM does final check against rubric. Submit on Blackboard by EOD.</w:t>
            </w:r>
          </w:p>
        </w:tc>
      </w:tr>
    </w:tbl>
    <w:p>
      <w:pPr>
        <w:pStyle w:val="Heading1"/>
      </w:pPr>
      <w:r>
        <w:rPr>
          <w:rFonts w:ascii="Arial" w:cs="Arial" w:eastAsia="Arial" w:hAnsi="Arial"/>
        </w:rPr>
        <w:t xml:space="preserve">10. Technology Stack</w:t>
      </w:r>
    </w:p>
    <w:p>
      <w:pPr>
        <w:spacing w:after="100" w:before="80"/>
      </w:pPr>
      <w:r>
        <w:rPr>
          <w:rFonts w:ascii="Arial" w:cs="Arial" w:eastAsia="Arial" w:hAnsi="Arial"/>
          <w:color w:val="1A1A1A"/>
          <w:sz w:val="22"/>
          <w:szCs w:val="22"/>
        </w:rPr>
        <w:t xml:space="preserve">The entire project is implemented in Python. No other programming languages are used.</w:t>
      </w:r>
    </w:p>
    <w:p>
      <w:pPr>
        <w:spacing w:after="0" w:before="60"/>
      </w:pPr>
    </w:p>
    <w:p>
      <w:pPr>
        <w:pStyle w:val="Heading2"/>
      </w:pPr>
      <w:r>
        <w:rPr>
          <w:rFonts w:ascii="Arial" w:cs="Arial" w:eastAsia="Arial" w:hAnsi="Arial"/>
        </w:rPr>
        <w:t xml:space="preserve">10.1 Core ML &amp; NLP</w:t>
      </w:r>
    </w:p>
    <w:p>
      <w:pPr>
        <w:pStyle w:val="ListParagraph"/>
        <w:numPr>
          <w:ilvl w:val="0"/>
          <w:numId w:val="2"/>
        </w:numPr>
        <w:spacing w:after="40" w:before="40"/>
      </w:pPr>
      <w:r>
        <w:rPr>
          <w:rFonts w:ascii="Arial" w:cs="Arial" w:eastAsia="Arial" w:hAnsi="Arial"/>
          <w:color w:val="1A1A1A"/>
          <w:sz w:val="21"/>
          <w:szCs w:val="21"/>
        </w:rPr>
        <w:t xml:space="preserve">torch — PyTorch for model training, loss functions, and optimisers.</w:t>
      </w:r>
    </w:p>
    <w:p>
      <w:pPr>
        <w:pStyle w:val="ListParagraph"/>
        <w:numPr>
          <w:ilvl w:val="0"/>
          <w:numId w:val="2"/>
        </w:numPr>
        <w:spacing w:after="40" w:before="40"/>
      </w:pPr>
      <w:r>
        <w:rPr>
          <w:rFonts w:ascii="Arial" w:cs="Arial" w:eastAsia="Arial" w:hAnsi="Arial"/>
          <w:color w:val="1A1A1A"/>
          <w:sz w:val="21"/>
          <w:szCs w:val="21"/>
        </w:rPr>
        <w:t xml:space="preserve">transformers (Hugging Face) — BERT fine-tuning (intent classifier), T5 fine-tuning (Text-to-SQL), tokenisers, Trainer API.</w:t>
      </w:r>
    </w:p>
    <w:p>
      <w:pPr>
        <w:pStyle w:val="ListParagraph"/>
        <w:numPr>
          <w:ilvl w:val="0"/>
          <w:numId w:val="2"/>
        </w:numPr>
        <w:spacing w:after="40" w:before="40"/>
      </w:pPr>
      <w:r>
        <w:rPr>
          <w:rFonts w:ascii="Arial" w:cs="Arial" w:eastAsia="Arial" w:hAnsi="Arial"/>
          <w:color w:val="1A1A1A"/>
          <w:sz w:val="21"/>
          <w:szCs w:val="21"/>
        </w:rPr>
        <w:t xml:space="preserve">sentence-transformers — all-MiniLM-L6-v2 embeddings for RAG document chunks.</w:t>
      </w:r>
    </w:p>
    <w:p>
      <w:pPr>
        <w:pStyle w:val="ListParagraph"/>
        <w:numPr>
          <w:ilvl w:val="0"/>
          <w:numId w:val="2"/>
        </w:numPr>
        <w:spacing w:after="40" w:before="40"/>
      </w:pPr>
      <w:r>
        <w:rPr>
          <w:rFonts w:ascii="Arial" w:cs="Arial" w:eastAsia="Arial" w:hAnsi="Arial"/>
          <w:color w:val="1A1A1A"/>
          <w:sz w:val="21"/>
          <w:szCs w:val="21"/>
        </w:rPr>
        <w:t xml:space="preserve">datasets (Hugging Face) — load Spider and Financial PhraseBank directly from the Hub.</w:t>
      </w:r>
    </w:p>
    <w:p>
      <w:pPr>
        <w:pStyle w:val="ListParagraph"/>
        <w:numPr>
          <w:ilvl w:val="0"/>
          <w:numId w:val="2"/>
        </w:numPr>
        <w:spacing w:after="40" w:before="40"/>
      </w:pPr>
      <w:r>
        <w:rPr>
          <w:rFonts w:ascii="Arial" w:cs="Arial" w:eastAsia="Arial" w:hAnsi="Arial"/>
          <w:color w:val="1A1A1A"/>
          <w:sz w:val="21"/>
          <w:szCs w:val="21"/>
        </w:rPr>
        <w:t xml:space="preserve">scikit-learn — metrics (F1, confusion matrix, classification report), train/test split.</w:t>
      </w:r>
    </w:p>
    <w:p>
      <w:pPr>
        <w:spacing w:after="0" w:before="60"/>
      </w:pPr>
    </w:p>
    <w:p>
      <w:pPr>
        <w:pStyle w:val="Heading2"/>
      </w:pPr>
      <w:r>
        <w:rPr>
          <w:rFonts w:ascii="Arial" w:cs="Arial" w:eastAsia="Arial" w:hAnsi="Arial"/>
        </w:rPr>
        <w:t xml:space="preserve">10.2 Data &amp; Storage</w:t>
      </w:r>
    </w:p>
    <w:p>
      <w:pPr>
        <w:pStyle w:val="ListParagraph"/>
        <w:numPr>
          <w:ilvl w:val="0"/>
          <w:numId w:val="2"/>
        </w:numPr>
        <w:spacing w:after="40" w:before="40"/>
      </w:pPr>
      <w:r>
        <w:rPr>
          <w:rFonts w:ascii="Arial" w:cs="Arial" w:eastAsia="Arial" w:hAnsi="Arial"/>
          <w:color w:val="1A1A1A"/>
          <w:sz w:val="21"/>
          <w:szCs w:val="21"/>
        </w:rPr>
        <w:t xml:space="preserve">pandas — data loading, wrangling, and feature engineering across all datasets.</w:t>
      </w:r>
    </w:p>
    <w:p>
      <w:pPr>
        <w:pStyle w:val="ListParagraph"/>
        <w:numPr>
          <w:ilvl w:val="0"/>
          <w:numId w:val="2"/>
        </w:numPr>
        <w:spacing w:after="40" w:before="40"/>
      </w:pPr>
      <w:r>
        <w:rPr>
          <w:rFonts w:ascii="Arial" w:cs="Arial" w:eastAsia="Arial" w:hAnsi="Arial"/>
          <w:color w:val="1A1A1A"/>
          <w:sz w:val="21"/>
          <w:szCs w:val="21"/>
        </w:rPr>
        <w:t xml:space="preserve">numpy — numerical operations and synthetic data generation.</w:t>
      </w:r>
    </w:p>
    <w:p>
      <w:pPr>
        <w:pStyle w:val="ListParagraph"/>
        <w:numPr>
          <w:ilvl w:val="0"/>
          <w:numId w:val="2"/>
        </w:numPr>
        <w:spacing w:after="40" w:before="40"/>
      </w:pPr>
      <w:r>
        <w:rPr>
          <w:rFonts w:ascii="Arial" w:cs="Arial" w:eastAsia="Arial" w:hAnsi="Arial"/>
          <w:color w:val="1A1A1A"/>
          <w:sz w:val="21"/>
          <w:szCs w:val="21"/>
        </w:rPr>
        <w:t xml:space="preserve">sqlite3 (Python stdlib) — SQL execution against etf_returns.db. No ORM needed.</w:t>
      </w:r>
    </w:p>
    <w:p>
      <w:pPr>
        <w:pStyle w:val="ListParagraph"/>
        <w:numPr>
          <w:ilvl w:val="0"/>
          <w:numId w:val="2"/>
        </w:numPr>
        <w:spacing w:after="40" w:before="40"/>
      </w:pPr>
      <w:r>
        <w:rPr>
          <w:rFonts w:ascii="Arial" w:cs="Arial" w:eastAsia="Arial" w:hAnsi="Arial"/>
          <w:color w:val="1A1A1A"/>
          <w:sz w:val="21"/>
          <w:szCs w:val="21"/>
        </w:rPr>
        <w:t xml:space="preserve">faiss-cpu — vector index for RAG document retrieval.</w:t>
      </w:r>
    </w:p>
    <w:p>
      <w:pPr>
        <w:spacing w:after="0" w:before="60"/>
      </w:pPr>
    </w:p>
    <w:p>
      <w:pPr>
        <w:pStyle w:val="Heading2"/>
      </w:pPr>
      <w:r>
        <w:rPr>
          <w:rFonts w:ascii="Arial" w:cs="Arial" w:eastAsia="Arial" w:hAnsi="Arial"/>
        </w:rPr>
        <w:t xml:space="preserve">10.3 Visualisation &amp; Output</w:t>
      </w:r>
    </w:p>
    <w:p>
      <w:pPr>
        <w:pStyle w:val="ListParagraph"/>
        <w:numPr>
          <w:ilvl w:val="0"/>
          <w:numId w:val="2"/>
        </w:numPr>
        <w:spacing w:after="40" w:before="40"/>
      </w:pPr>
      <w:r>
        <w:rPr>
          <w:rFonts w:ascii="Arial" w:cs="Arial" w:eastAsia="Arial" w:hAnsi="Arial"/>
          <w:color w:val="1A1A1A"/>
          <w:sz w:val="21"/>
          <w:szCs w:val="21"/>
        </w:rPr>
        <w:t xml:space="preserve">matplotlib — line charts, bar charts, and heatmaps for query results and EDA.</w:t>
      </w:r>
    </w:p>
    <w:p>
      <w:pPr>
        <w:pStyle w:val="ListParagraph"/>
        <w:numPr>
          <w:ilvl w:val="0"/>
          <w:numId w:val="2"/>
        </w:numPr>
        <w:spacing w:after="40" w:before="40"/>
      </w:pPr>
      <w:r>
        <w:rPr>
          <w:rFonts w:ascii="Arial" w:cs="Arial" w:eastAsia="Arial" w:hAnsi="Arial"/>
          <w:color w:val="1A1A1A"/>
          <w:sz w:val="21"/>
          <w:szCs w:val="21"/>
        </w:rPr>
        <w:t xml:space="preserve">seaborn — EDA visualisations: pairplot, distribution plots, correlation heatmaps.</w:t>
      </w:r>
    </w:p>
    <w:p>
      <w:pPr>
        <w:pStyle w:val="ListParagraph"/>
        <w:numPr>
          <w:ilvl w:val="0"/>
          <w:numId w:val="2"/>
        </w:numPr>
        <w:spacing w:after="40" w:before="40"/>
      </w:pPr>
      <w:r>
        <w:rPr>
          <w:rFonts w:ascii="Arial" w:cs="Arial" w:eastAsia="Arial" w:hAnsi="Arial"/>
          <w:color w:val="1A1A1A"/>
          <w:sz w:val="21"/>
          <w:szCs w:val="21"/>
        </w:rPr>
        <w:t xml:space="preserve">jupyter — all EDA and training notebooks.</w:t>
      </w:r>
    </w:p>
    <w:p>
      <w:pPr>
        <w:spacing w:after="0" w:before="60"/>
      </w:pPr>
    </w:p>
    <w:p>
      <w:pPr>
        <w:pStyle w:val="Heading2"/>
      </w:pPr>
      <w:r>
        <w:rPr>
          <w:rFonts w:ascii="Arial" w:cs="Arial" w:eastAsia="Arial" w:hAnsi="Arial"/>
        </w:rPr>
        <w:t xml:space="preserve">10.4 Agentic Development Tools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1"/>
              <w:left w:val="single" w:color="2E75B6" w:sz="1"/>
              <w:bottom w:val="single" w:color="2E75B6" w:sz="1"/>
              <w:right w:val="single" w:color="2E75B6" w:sz="1"/>
            </w:tcBorders>
            <w:shd w:fill="E8F2FD" w:val="clear"/>
            <w:tcMar>
              <w:top w:type="dxa" w:w="120"/>
              <w:left w:type="dxa" w:w="180"/>
              <w:bottom w:type="dxa" w:w="120"/>
              <w:right w:type="dxa" w:w="180"/>
            </w:tcMar>
          </w:tcPr>
          <w:p>
            <w:pPr>
              <w:spacing w:after="60" w:before="0"/>
            </w:pPr>
            <w:r>
              <w:rPr>
                <w:rFonts w:ascii="Arial" w:cs="Arial" w:eastAsia="Arial" w:hAnsi="Arial"/>
                <w:b/>
                <w:bCs/>
                <w:color w:val="1B4F8A"/>
                <w:sz w:val="20"/>
                <w:szCs w:val="20"/>
              </w:rPr>
              <w:t xml:space="preserve">Cursor:  </w:t>
            </w:r>
            <w:r>
              <w:rPr>
                <w:rFonts w:ascii="Arial" w:cs="Arial" w:eastAsia="Arial" w:hAnsi="Arial"/>
                <w:color w:val="1A1A1A"/>
                <w:sz w:val="20"/>
                <w:szCs w:val="20"/>
              </w:rPr>
              <w:t xml:space="preserve">Primary IDE for all 6 members. Use inline AI (Cmd+K / Ctrl+K) to generate boilerplate, refactor functions, and explain unfamiliar library APIs. Open the project root as workspace so the AI has full cross-file context. Each workstream member works on their own Git branch inside Cursor.</w:t>
            </w:r>
          </w:p>
        </w:tc>
      </w:tr>
    </w:tbl>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B3E9B" w:sz="1"/>
              <w:left w:val="single" w:color="5B3E9B" w:sz="1"/>
              <w:bottom w:val="single" w:color="5B3E9B" w:sz="1"/>
              <w:right w:val="single" w:color="5B3E9B" w:sz="1"/>
            </w:tcBorders>
            <w:shd w:fill="F0EBFF" w:val="clear"/>
            <w:tcMar>
              <w:top w:type="dxa" w:w="120"/>
              <w:left w:type="dxa" w:w="180"/>
              <w:bottom w:type="dxa" w:w="120"/>
              <w:right w:type="dxa" w:w="180"/>
            </w:tcMar>
          </w:tcPr>
          <w:p>
            <w:pPr>
              <w:spacing w:after="60" w:before="0"/>
            </w:pPr>
            <w:r>
              <w:rPr>
                <w:rFonts w:ascii="Arial" w:cs="Arial" w:eastAsia="Arial" w:hAnsi="Arial"/>
                <w:b/>
                <w:bCs/>
                <w:color w:val="C0560A"/>
                <w:sz w:val="20"/>
                <w:szCs w:val="20"/>
              </w:rPr>
              <w:t xml:space="preserve">Claude Code:  </w:t>
            </w:r>
            <w:r>
              <w:rPr>
                <w:rFonts w:ascii="Arial" w:cs="Arial" w:eastAsia="Arial" w:hAnsi="Arial"/>
                <w:color w:val="1A1A1A"/>
                <w:sz w:val="20"/>
                <w:szCs w:val="20"/>
              </w:rPr>
              <w:t xml:space="preserve">Used for scaffolding, debugging, and pipeline integration. Recommended uses by day: Day 1 — scaffold the router module and full folder structure; Day 4 — auto-generate evaluation metric scripts for all three models; Day 6 — debug SQL execution errors and patch edge cases; Day 8 — review and clean up all code before submission (docstrings, type hints, remove debug prints). Always run from the project root so Claude Code has full file context.</w:t>
            </w:r>
          </w:p>
        </w:tc>
      </w:tr>
    </w:tbl>
    <w:p>
      <w:pPr>
        <w:spacing w:after="0" w:before="60"/>
      </w:pPr>
    </w:p>
    <w:p>
      <w:pPr>
        <w:pStyle w:val="Heading2"/>
      </w:pPr>
      <w:r>
        <w:rPr>
          <w:rFonts w:ascii="Arial" w:cs="Arial" w:eastAsia="Arial" w:hAnsi="Arial"/>
        </w:rPr>
        <w:t xml:space="preserve">10.5 Environment &amp; Dependency Management</w:t>
      </w:r>
    </w:p>
    <w:p>
      <w:pPr>
        <w:pStyle w:val="ListParagraph"/>
        <w:numPr>
          <w:ilvl w:val="0"/>
          <w:numId w:val="2"/>
        </w:numPr>
        <w:spacing w:after="40" w:before="40"/>
      </w:pPr>
      <w:r>
        <w:rPr>
          <w:rFonts w:ascii="Arial" w:cs="Arial" w:eastAsia="Arial" w:hAnsi="Arial"/>
          <w:color w:val="1A1A1A"/>
          <w:sz w:val="21"/>
          <w:szCs w:val="21"/>
        </w:rPr>
        <w:t xml:space="preserve">venv — one shared virtual environment spec. All members must use Python 3.10+.</w:t>
      </w:r>
    </w:p>
    <w:p>
      <w:pPr>
        <w:pStyle w:val="ListParagraph"/>
        <w:numPr>
          <w:ilvl w:val="0"/>
          <w:numId w:val="2"/>
        </w:numPr>
        <w:spacing w:after="40" w:before="40"/>
      </w:pPr>
      <w:r>
        <w:rPr>
          <w:rFonts w:ascii="Arial" w:cs="Arial" w:eastAsia="Arial" w:hAnsi="Arial"/>
          <w:color w:val="1A1A1A"/>
          <w:sz w:val="21"/>
          <w:szCs w:val="21"/>
        </w:rPr>
        <w:t xml:space="preserve">requirements.txt — single pinned dependency file committed on Day 1. Updated only via reviewed PR to main.</w:t>
      </w:r>
    </w:p>
    <w:p>
      <w:pPr>
        <w:pStyle w:val="ListParagraph"/>
        <w:numPr>
          <w:ilvl w:val="0"/>
          <w:numId w:val="2"/>
        </w:numPr>
        <w:spacing w:after="40" w:before="40"/>
      </w:pPr>
      <w:r>
        <w:rPr>
          <w:rFonts w:ascii="Arial" w:cs="Arial" w:eastAsia="Arial" w:hAnsi="Arial"/>
          <w:color w:val="1A1A1A"/>
          <w:sz w:val="21"/>
          <w:szCs w:val="21"/>
        </w:rPr>
        <w:t xml:space="preserve">Google Colab (optional fallback) — for members without a local GPU. Mount shared Drive folder containing the /data directory.</w:t>
      </w:r>
    </w:p>
    <w:p>
      <w:pPr>
        <w:pStyle w:val="Heading1"/>
      </w:pPr>
      <w:r>
        <w:rPr>
          <w:rFonts w:ascii="Arial" w:cs="Arial" w:eastAsia="Arial" w:hAnsi="Arial"/>
        </w:rPr>
        <w:t xml:space="preserve">11. Day 1 Checklist — Unblock All Workstreams</w:t>
      </w:r>
    </w:p>
    <w:p>
      <w:pPr>
        <w:spacing w:after="100" w:before="80"/>
      </w:pPr>
      <w:r>
        <w:rPr>
          <w:rFonts w:ascii="Arial" w:cs="Arial" w:eastAsia="Arial" w:hAnsi="Arial"/>
          <w:color w:val="1A1A1A"/>
          <w:sz w:val="22"/>
          <w:szCs w:val="22"/>
        </w:rPr>
        <w:t xml:space="preserve">Complete every item below before the Day 1 session ends. Nothing on Day 2 can start until these are done.</w:t>
      </w:r>
    </w:p>
    <w:p>
      <w:pPr>
        <w:spacing w:after="0" w:before="80"/>
      </w:pPr>
    </w:p>
    <w:p>
      <w:pPr>
        <w:pStyle w:val="ListParagraph"/>
        <w:numPr>
          <w:ilvl w:val="0"/>
          <w:numId w:val="3"/>
        </w:numPr>
        <w:spacing w:after="40" w:before="40"/>
      </w:pPr>
      <w:r>
        <w:rPr>
          <w:rFonts w:ascii="Arial" w:cs="Arial" w:eastAsia="Arial" w:hAnsi="Arial"/>
          <w:color w:val="1A1A1A"/>
          <w:sz w:val="21"/>
          <w:szCs w:val="21"/>
        </w:rPr>
        <w:t xml:space="preserve">PM creates GitHub repository. Initialises branches: main, dev, feature/nlp-intent, feature/portfolio, feature/text2sql, feature/rag. PM is the sole merge approver for main.</w:t>
      </w:r>
    </w:p>
    <w:p>
      <w:pPr>
        <w:pStyle w:val="ListParagraph"/>
        <w:numPr>
          <w:ilvl w:val="0"/>
          <w:numId w:val="3"/>
        </w:numPr>
        <w:spacing w:after="40" w:before="40"/>
      </w:pPr>
      <w:r>
        <w:rPr>
          <w:rFonts w:ascii="Arial" w:cs="Arial" w:eastAsia="Arial" w:hAnsi="Arial"/>
          <w:color w:val="1A1A1A"/>
          <w:sz w:val="21"/>
          <w:szCs w:val="21"/>
        </w:rPr>
        <w:t xml:space="preserve">All 6 members clone repo, create venv (python -m venv .venv), install requirements.txt, confirm Jupyter launches without errors.</w:t>
      </w:r>
    </w:p>
    <w:p>
      <w:pPr>
        <w:pStyle w:val="ListParagraph"/>
        <w:numPr>
          <w:ilvl w:val="0"/>
          <w:numId w:val="3"/>
        </w:numPr>
        <w:spacing w:after="40" w:before="40"/>
      </w:pPr>
      <w:r>
        <w:rPr>
          <w:rFonts w:ascii="Arial" w:cs="Arial" w:eastAsia="Arial" w:hAnsi="Arial"/>
          <w:color w:val="1A1A1A"/>
          <w:sz w:val="21"/>
          <w:szCs w:val="21"/>
        </w:rPr>
        <w:t xml:space="preserve">PM runs Claude Code from project root: "Scaffold this folder structure: /data, /notebooks/eda, /models/intent, /models/portfolio, /models/text2sql, /rag, /output, /report, /slides. Add a README.md stub in each folder."</w:t>
      </w:r>
    </w:p>
    <w:p>
      <w:pPr>
        <w:pStyle w:val="ListParagraph"/>
        <w:numPr>
          <w:ilvl w:val="0"/>
          <w:numId w:val="3"/>
        </w:numPr>
        <w:spacing w:after="40" w:before="40"/>
      </w:pPr>
      <w:r>
        <w:rPr>
          <w:rFonts w:ascii="Arial" w:cs="Arial" w:eastAsia="Arial" w:hAnsi="Arial"/>
          <w:color w:val="1A1A1A"/>
          <w:sz w:val="21"/>
          <w:szCs w:val="21"/>
        </w:rPr>
        <w:t xml:space="preserve">Pair A: open intent_classification.csv in a notebook. Verify 500 rows, 4 balanced classes. Run the HuggingFace BERT tokeniser on 5 sample rows. Confirm no import errors.</w:t>
      </w:r>
    </w:p>
    <w:p>
      <w:pPr>
        <w:pStyle w:val="ListParagraph"/>
        <w:numPr>
          <w:ilvl w:val="0"/>
          <w:numId w:val="3"/>
        </w:numPr>
        <w:spacing w:after="40" w:before="40"/>
      </w:pPr>
      <w:r>
        <w:rPr>
          <w:rFonts w:ascii="Arial" w:cs="Arial" w:eastAsia="Arial" w:hAnsi="Arial"/>
          <w:color w:val="1A1A1A"/>
          <w:sz w:val="21"/>
          <w:szCs w:val="21"/>
        </w:rPr>
        <w:t xml:space="preserve">Pair B: connect to etf_returns.db using sqlite3 in a notebook. Confirm all 5 tables exist. Run 3 manual SELECT queries. Confirm SQL results match expected portfolio names.</w:t>
      </w:r>
    </w:p>
    <w:p>
      <w:pPr>
        <w:pStyle w:val="ListParagraph"/>
        <w:numPr>
          <w:ilvl w:val="0"/>
          <w:numId w:val="3"/>
        </w:numPr>
        <w:spacing w:after="40" w:before="40"/>
      </w:pPr>
      <w:r>
        <w:rPr>
          <w:rFonts w:ascii="Arial" w:cs="Arial" w:eastAsia="Arial" w:hAnsi="Arial"/>
          <w:color w:val="1A1A1A"/>
          <w:sz w:val="21"/>
          <w:szCs w:val="21"/>
        </w:rPr>
        <w:t xml:space="preserve">Solo (Portfolio): load synthetic_client_profiles.csv. Produce a class-balance bar chart (5 portfolio types). Confirm no null values. Save the chart to /notebooks/eda/.</w:t>
      </w:r>
    </w:p>
    <w:p>
      <w:pPr>
        <w:pStyle w:val="ListParagraph"/>
        <w:numPr>
          <w:ilvl w:val="0"/>
          <w:numId w:val="3"/>
        </w:numPr>
        <w:spacing w:after="40" w:before="40"/>
      </w:pPr>
      <w:r>
        <w:rPr>
          <w:rFonts w:ascii="Arial" w:cs="Arial" w:eastAsia="Arial" w:hAnsi="Arial"/>
          <w:color w:val="1A1A1A"/>
          <w:sz w:val="21"/>
          <w:szCs w:val="21"/>
        </w:rPr>
        <w:t xml:space="preserve">PM: confirm faiss-cpu installs cleanly. Run a 10-sentence embedding test using sentence-transformers. Confirm index build and similarity search return results.</w:t>
      </w:r>
    </w:p>
    <w:p>
      <w:pPr>
        <w:pStyle w:val="ListParagraph"/>
        <w:numPr>
          <w:ilvl w:val="0"/>
          <w:numId w:val="3"/>
        </w:numPr>
        <w:spacing w:after="40" w:before="40"/>
      </w:pPr>
      <w:r>
        <w:rPr>
          <w:rFonts w:ascii="Arial" w:cs="Arial" w:eastAsia="Arial" w:hAnsi="Arial"/>
          <w:color w:val="1A1A1A"/>
          <w:sz w:val="21"/>
          <w:szCs w:val="21"/>
        </w:rPr>
        <w:t xml:space="preserve">PM creates GitHub Project board: columns Backlog / In Progress / Review / Done. Each member adds their Day 2 tasks as cards before closing their laptop.</w:t>
      </w:r>
    </w:p>
    <w:p>
      <w:pPr>
        <w:pStyle w:val="ListParagraph"/>
        <w:numPr>
          <w:ilvl w:val="0"/>
          <w:numId w:val="3"/>
        </w:numPr>
        <w:spacing w:after="40" w:before="40"/>
      </w:pPr>
      <w:r>
        <w:rPr>
          <w:rFonts w:ascii="Arial" w:cs="Arial" w:eastAsia="Arial" w:hAnsi="Arial"/>
          <w:color w:val="1A1A1A"/>
          <w:sz w:val="21"/>
          <w:szCs w:val="21"/>
        </w:rPr>
        <w:t xml:space="preserve">All members fill in their Name and Student ID in the team table at the front of this brief.</w:t>
      </w:r>
    </w:p>
    <w:p>
      <w:pPr>
        <w:spacing w:after="0"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1"/>
              <w:left w:val="single" w:color="2E75B6" w:sz="1"/>
              <w:bottom w:val="single" w:color="2E75B6" w:sz="1"/>
              <w:right w:val="single" w:color="2E75B6" w:sz="1"/>
            </w:tcBorders>
            <w:shd w:fill="E8F2FD" w:val="clear"/>
            <w:tcMar>
              <w:top w:type="dxa" w:w="120"/>
              <w:left w:type="dxa" w:w="180"/>
              <w:bottom w:type="dxa" w:w="120"/>
              <w:right w:type="dxa" w:w="180"/>
            </w:tcMar>
          </w:tcPr>
          <w:p>
            <w:pPr>
              <w:spacing w:after="60" w:before="0"/>
            </w:pPr>
            <w:r>
              <w:rPr>
                <w:rFonts w:ascii="Arial" w:cs="Arial" w:eastAsia="Arial" w:hAnsi="Arial"/>
                <w:b/>
                <w:bCs/>
                <w:color w:val="1B4F8A"/>
                <w:sz w:val="20"/>
                <w:szCs w:val="20"/>
              </w:rPr>
              <w:t xml:space="preserve">Key Links:  </w:t>
            </w:r>
            <w:r>
              <w:rPr>
                <w:rFonts w:ascii="Arial" w:cs="Arial" w:eastAsia="Arial" w:hAnsi="Arial"/>
                <w:color w:val="1A1A1A"/>
                <w:sz w:val="20"/>
                <w:szCs w:val="20"/>
              </w:rPr>
              <w:t xml:space="preserve">Spider Dataset: https://yale-lily.github.io/spider  |  HuggingFace Hub: https://huggingface.co/datasets  |  Financial PhraseBank: kaggle.com/datasets/ankurzing/sentiment-analysis-for-financial-news  |  sentence-transformers docs: sbert.net</w:t>
            </w:r>
          </w:p>
        </w:tc>
      </w:tr>
    </w:tbl>
    <w:p>
      <w:pPr>
        <w:spacing w:after="0" w:before="200"/>
      </w:pPr>
    </w:p>
    <w:p>
      <w:pPr>
        <w:pBdr>
          <w:top w:val="single" w:color="2E75B6" w:sz="4" w:space="8"/>
        </w:pBdr>
        <w:spacing w:after="0" w:before="200"/>
        <w:jc w:val="center"/>
      </w:pPr>
      <w:r>
        <w:rPr>
          <w:rFonts w:ascii="Arial" w:cs="Arial" w:eastAsia="Arial" w:hAnsi="Arial"/>
          <w:color w:val="777777"/>
          <w:sz w:val="18"/>
          <w:szCs w:val="18"/>
        </w:rPr>
        <w:t xml:space="preserve">InvestIQ Project Brief  |  AASD 4010 Deep Learning I  |  George Brown College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0"/>
    </w:pPr>
    <w:r>
      <w:rPr>
        <w:rFonts w:ascii="Arial" w:cs="Arial" w:eastAsia="Arial" w:hAnsi="Arial"/>
        <w:color w:val="777777"/>
        <w:sz w:val="18"/>
        <w:szCs w:val="18"/>
      </w:rPr>
      <w:t xml:space="preserve">George Brown College  |  AASD 4010  |  May 2026</w:t>
    </w:r>
    <w:r>
      <w:rPr>
        <w:rFonts w:ascii="Arial" w:cs="Arial" w:eastAsia="Arial" w:hAnsi="Arial"/>
      </w:rPr>
      <w:t xml:space="preserve">	</w:t>
    </w: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after="0"/>
    </w:pPr>
    <w:r>
      <w:rPr>
        <w:rFonts w:ascii="Arial" w:cs="Arial" w:eastAsia="Arial" w:hAnsi="Arial"/>
        <w:b/>
        <w:bCs/>
        <w:color w:val="1B4F8A"/>
        <w:sz w:val="20"/>
        <w:szCs w:val="20"/>
      </w:rPr>
      <w:t xml:space="preserve">InvestIQ — Project Brief</w:t>
    </w:r>
    <w:r>
      <w:rPr>
        <w:rFonts w:ascii="Arial" w:cs="Arial" w:eastAsia="Arial" w:hAnsi="Arial"/>
      </w:rPr>
      <w:t xml:space="preserve">	</w:t>
    </w:r>
    <w:r>
      <w:rPr>
        <w:rFonts w:ascii="Arial" w:cs="Arial" w:eastAsia="Arial" w:hAnsi="Arial"/>
        <w:color w:val="777777"/>
        <w:sz w:val="18"/>
        <w:szCs w:val="18"/>
      </w:rPr>
      <w:t xml:space="preserve">AASD 4010 Deep Learning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60" w:before="320"/>
      <w:outlineLvl w:val="0"/>
    </w:pPr>
    <w:rPr>
      <w:rFonts w:ascii="Arial" w:cs="Arial" w:eastAsia="Arial" w:hAnsi="Arial"/>
      <w:b/>
      <w:bCs/>
      <w:color w:val="1B4F8A"/>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2026-05-14T16:47:05.155Z</dcterms:created>
  <dcterms:modified xsi:type="dcterms:W3CDTF">2026-05-14T16:47:05.156Z</dcterms:modified>
</cp:coreProperties>
</file>

<file path=docProps/custom.xml><?xml version="1.0" encoding="utf-8"?>
<Properties xmlns="http://schemas.openxmlformats.org/officeDocument/2006/custom-properties" xmlns:vt="http://schemas.openxmlformats.org/officeDocument/2006/docPropsVTypes"/>
</file>