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121212"/>
  <w:body>
    <w:p>
      <w:pPr>
        <w:spacing w:before="1280" w:after="480"/>
      </w:pPr>
    </w:p>
    <w:p>
      <w:pPr>
        <w:spacing w:after="40"/>
      </w:pPr>
      <w:r>
        <w:rPr>
          <w:rFonts w:ascii="Century Gothic" w:hAnsi="Century Gothic"/>
          <w:b/>
          <w:color w:val="9A938B"/>
          <w:sz w:val="19"/>
        </w:rPr>
        <w:t>SYSTEM TEMPLATE</w:t>
        <w:br/>
      </w:r>
      <w:r>
        <w:rPr>
          <w:rFonts w:ascii="Century Gothic" w:hAnsi="Century Gothic"/>
          <w:b/>
          <w:color w:val="FF2E88"/>
          <w:sz w:val="56"/>
        </w:rPr>
        <w:t>neurodivers³ VOID DARK Template</w:t>
      </w:r>
    </w:p>
    <w:p>
      <w:pPr>
        <w:spacing w:after="480"/>
      </w:pPr>
      <w:r>
        <w:rPr>
          <w:rFonts w:ascii="Arial" w:hAnsi="Arial"/>
          <w:i/>
          <w:color w:val="9A938B"/>
          <w:sz w:val="23"/>
        </w:rPr>
        <w:t>A high-readability branded document template in A4 size. Standardised with narrower margins to support rich content placement, with custom styles and fonts.</w:t>
      </w:r>
    </w:p>
    <w:tbl>
      <w:tblPr>
        <w:tblW w:type="auto" w:w="0"/>
        <w:tblLayout w:type="fixed"/>
        <w:tblLook w:firstColumn="1" w:firstRow="1" w:lastColumn="0" w:lastRow="0" w:noHBand="0" w:noVBand="1" w:val="04A0"/>
      </w:tblPr>
      <w:tblGrid>
        <w:gridCol w:w="9605"/>
      </w:tblGrid>
      <w:tr>
        <w:tc>
          <w:tcPr>
            <w:tcW w:type="dxa" w:w="9605"/>
            <w:tcBorders>
              <w:bottom w:val="single" w:sz="6" w:space="0" w:color="FF2E88"/>
            </w:tcBorders>
          </w:tcPr>
          <w:p>
            <w:pPr>
              <w:spacing w:after="40"/>
            </w:pPr>
          </w:p>
        </w:tc>
      </w:tr>
    </w:tbl>
    <w:p>
      <w:pPr>
        <w:spacing w:before="160" w:after="960"/>
      </w:pPr>
      <w:r>
        <w:rPr>
          <w:rFonts w:ascii="Century Gothic" w:hAnsi="Century Gothic"/>
          <w:b/>
          <w:color w:val="FF2E88"/>
          <w:sz w:val="17"/>
        </w:rPr>
        <w:t>SIZE: A4 (210×297 MM)  |  THEME: VOID DARK  |  VERSION 1.0</w:t>
      </w:r>
    </w:p>
    <w:p>
      <w:r>
        <w:br w:type="page"/>
      </w:r>
    </w:p>
    <w:p>
      <w:pPr>
        <w:spacing w:before="480" w:after="120"/>
      </w:pPr>
      <w:r>
        <w:rPr>
          <w:rFonts w:ascii="Century Gothic" w:hAnsi="Century Gothic"/>
          <w:b/>
          <w:color w:val="FF2E88"/>
          <w:sz w:val="36"/>
        </w:rPr>
        <w:t>1. High-Density Branded Typography</w:t>
      </w:r>
    </w:p>
    <w:p>
      <w:r>
        <w:t>This template is styled using the VOID DARK colour palette. By setting high-readability sans-serif fonts (Arial for body text, Century Gothic for headings) and generous line heights (1.25), the template guarantees a visual environment optimised for reading comprehension and cognitive endurance.</w:t>
      </w:r>
    </w:p>
    <w:p>
      <w:pPr>
        <w:spacing w:before="320" w:after="80"/>
      </w:pPr>
      <w:r>
        <w:rPr>
          <w:rFonts w:ascii="Century Gothic" w:hAnsi="Century Gothic"/>
          <w:b/>
          <w:color w:val="F4F4F2"/>
          <w:sz w:val="28"/>
        </w:rPr>
        <w:t>1.1. High-Density A4 Layout</w:t>
      </w:r>
    </w:p>
    <w:p>
      <w:r>
        <w:t>To allow rich content layouts (like planners, trackers, and worksheets), we have set the document size to A4 and reduced the margins to 0.8 inches (approximately 2.0 cm). This increases the printable width to 6.67 inches and allows significantly more content density per page while maintaining balanced borders.</w:t>
      </w:r>
    </w:p>
    <w:p>
      <w:pPr>
        <w:spacing w:before="240" w:after="80"/>
      </w:pPr>
      <w:r>
        <w:rPr>
          <w:rFonts w:ascii="Century Gothic" w:hAnsi="Century Gothic"/>
          <w:b/>
          <w:i/>
          <w:color w:val="9A938B"/>
          <w:sz w:val="23"/>
        </w:rPr>
        <w:t>1.1.1. Clean Borderless Layout</w:t>
      </w:r>
    </w:p>
    <w:p>
      <w:r>
        <w:t>Normal pages use a clean, borderless layout without busy headers or footers, allowing the content to take center stage. Spacing and margins are optimised to support focus and reduce cognitive overwhelm.</w:t>
      </w:r>
    </w:p>
    <w:p>
      <w:pPr>
        <w:spacing w:before="480" w:after="120"/>
      </w:pPr>
      <w:r>
        <w:rPr>
          <w:rFonts w:ascii="Century Gothic" w:hAnsi="Century Gothic"/>
          <w:b/>
          <w:color w:val="FF2E88"/>
          <w:sz w:val="36"/>
        </w:rPr>
        <w:t>2. Branded Layout Blocks</w:t>
      </w:r>
    </w:p>
    <w:p>
      <w:r>
        <w:t>Copy and paste these layout elements to structure your content:</w:t>
      </w:r>
    </w:p>
    <w:tbl>
      <w:tblPr>
        <w:tblW w:type="auto" w:w="0"/>
        <w:tblLayout w:type="fixed"/>
        <w:tblLook w:firstColumn="1" w:firstRow="1" w:lastColumn="0" w:lastRow="0" w:noHBand="0" w:noVBand="1" w:val="04A0"/>
      </w:tblPr>
      <w:tblGrid>
        <w:gridCol w:w="9605"/>
      </w:tblGrid>
      <w:tr>
        <w:tc>
          <w:tcPr>
            <w:tcW w:type="dxa" w:w="9605"/>
            <w:shd w:fill="1E1E1E"/>
            <w:tcBorders>
              <w:top w:val="none"/>
              <w:left w:val="single" w:sz="36" w:space="0" w:color="FF2E88"/>
              <w:bottom w:val="none"/>
              <w:right w:val="none"/>
            </w:tcBorders>
          </w:tcPr>
          <w:p>
            <w:pPr>
              <w:spacing w:before="120" w:after="120"/>
            </w:pPr>
            <w:r>
              <w:rPr>
                <w:rFonts w:ascii="Century Gothic" w:hAnsi="Century Gothic"/>
                <w:b/>
                <w:color w:val="FF2E88"/>
                <w:sz w:val="20"/>
              </w:rPr>
              <w:t>SYSTEM RULE: VISUAL SAFETY</w:t>
              <w:br/>
            </w:r>
            <w:r>
              <w:rPr>
                <w:rFonts w:ascii="Arial" w:hAnsi="Arial"/>
                <w:color w:val="F4F4F2"/>
                <w:sz w:val="20"/>
              </w:rPr>
              <w:t>This callout box uses a VOID DARK surface fill (#1E1E1E) with a thick 4.5pt left border in brand pink (#FF2E88). Use this block to separate important action items or instructions from normal paragraphs.</w:t>
            </w:r>
          </w:p>
        </w:tc>
      </w:tr>
    </w:tbl>
    <w:p>
      <w:pPr>
        <w:spacing w:before="240"/>
      </w:pPr>
    </w:p>
    <w:p>
      <w:r>
        <w:t>Actionable checklist guidelines:</w:t>
      </w:r>
    </w:p>
    <w:p>
      <w:pPr>
        <w:pStyle w:val="ListBullet"/>
      </w:pPr>
      <w:r>
        <w:rPr>
          <w:b/>
          <w:color w:val="FF2E88"/>
        </w:rPr>
        <w:t xml:space="preserve">Friction-free: </w:t>
      </w:r>
      <w:r>
        <w:rPr>
          <w:color w:val="F4F4F2"/>
        </w:rPr>
        <w:t>Remove unnecessary layout noise to avoid overwhelm.</w:t>
      </w:r>
    </w:p>
    <w:p>
      <w:pPr>
        <w:pStyle w:val="ListBullet"/>
      </w:pPr>
      <w:r>
        <w:rPr>
          <w:b/>
          <w:color w:val="FF2E88"/>
        </w:rPr>
        <w:t xml:space="preserve">Key bolding: </w:t>
      </w:r>
      <w:r>
        <w:rPr>
          <w:color w:val="F4F4F2"/>
        </w:rPr>
        <w:t>Highlight keywords to support quick scanning.</w:t>
      </w:r>
    </w:p>
    <w:p>
      <w:pPr>
        <w:pStyle w:val="ListBullet"/>
      </w:pPr>
      <w:r>
        <w:rPr>
          <w:b/>
          <w:color w:val="FF2E88"/>
        </w:rPr>
        <w:t xml:space="preserve">Generous space: </w:t>
      </w:r>
      <w:r>
        <w:rPr>
          <w:color w:val="F4F4F2"/>
        </w:rPr>
        <w:t>Add breathing room around elements to support focus.</w:t>
      </w:r>
    </w:p>
    <w:p>
      <w:pPr>
        <w:spacing w:before="240"/>
      </w:pPr>
    </w:p>
    <w:p>
      <w:pPr>
        <w:spacing w:before="320" w:after="120"/>
      </w:pPr>
      <w:r>
        <w:rPr>
          <w:rFonts w:ascii="Century Gothic" w:hAnsi="Century Gothic"/>
          <w:b/>
          <w:color w:val="F4F4F2"/>
          <w:sz w:val="28"/>
        </w:rPr>
        <w:t>2.1. Branded Data Tables</w:t>
      </w:r>
    </w:p>
    <w:tbl>
      <w:tblPr>
        <w:tblW w:type="auto" w:w="0"/>
        <w:tblLook w:firstColumn="1" w:firstRow="1" w:lastColumn="0" w:lastRow="0" w:noHBand="0" w:noVBand="1" w:val="04A0"/>
      </w:tblPr>
      <w:tblGrid>
        <w:gridCol w:w="2592"/>
        <w:gridCol w:w="5285"/>
        <w:gridCol w:w="1728"/>
      </w:tblGrid>
      <w:tr>
        <w:tc>
          <w:tcPr>
            <w:tcW w:type="dxa" w:w="3202"/>
            <w:shd w:fill="FF2E88"/>
          </w:tcPr>
          <w:p>
            <w:pPr>
              <w:spacing w:before="120" w:after="120"/>
            </w:pPr>
            <w:r>
              <w:rPr>
                <w:rFonts w:ascii="Century Gothic" w:hAnsi="Century Gothic"/>
                <w:b/>
                <w:color w:val="FFFFFF"/>
                <w:sz w:val="19"/>
              </w:rPr>
              <w:t>PILLAR</w:t>
            </w:r>
          </w:p>
        </w:tc>
        <w:tc>
          <w:tcPr>
            <w:tcW w:type="dxa" w:w="3202"/>
            <w:shd w:fill="FF2E88"/>
          </w:tcPr>
          <w:p>
            <w:pPr>
              <w:spacing w:before="120" w:after="120"/>
            </w:pPr>
            <w:r>
              <w:rPr>
                <w:rFonts w:ascii="Century Gothic" w:hAnsi="Century Gothic"/>
                <w:b/>
                <w:color w:val="FFFFFF"/>
                <w:sz w:val="19"/>
              </w:rPr>
              <w:t>METHODOLOGY OBJECTIVE</w:t>
            </w:r>
          </w:p>
        </w:tc>
        <w:tc>
          <w:tcPr>
            <w:tcW w:type="dxa" w:w="3202"/>
            <w:shd w:fill="FF2E88"/>
          </w:tcPr>
          <w:p>
            <w:pPr>
              <w:spacing w:before="120" w:after="120"/>
              <w:jc w:val="right"/>
            </w:pPr>
            <w:r>
              <w:rPr>
                <w:rFonts w:ascii="Century Gothic" w:hAnsi="Century Gothic"/>
                <w:b/>
                <w:color w:val="FFFFFF"/>
                <w:sz w:val="19"/>
              </w:rPr>
              <w:t>RATING</w:t>
            </w:r>
          </w:p>
        </w:tc>
      </w:tr>
      <w:tr>
        <w:tc>
          <w:tcPr>
            <w:tcW w:type="dxa" w:w="3202"/>
            <w:shd w:fill="121212"/>
            <w:tcBorders>
              <w:bottom w:val="single" w:sz="6" w:space="0" w:color="2D2D2D"/>
            </w:tcBorders>
          </w:tcPr>
          <w:p>
            <w:pPr>
              <w:spacing w:before="100" w:after="100"/>
            </w:pPr>
            <w:r>
              <w:rPr>
                <w:rFonts w:ascii="Arial" w:hAnsi="Arial"/>
                <w:b/>
                <w:color w:val="FF2E88"/>
                <w:sz w:val="19"/>
              </w:rPr>
              <w:t>UNMASKED</w:t>
            </w:r>
          </w:p>
        </w:tc>
        <w:tc>
          <w:tcPr>
            <w:tcW w:type="dxa" w:w="3202"/>
            <w:shd w:fill="121212"/>
            <w:tcBorders>
              <w:bottom w:val="single" w:sz="6" w:space="0" w:color="2D2D2D"/>
            </w:tcBorders>
          </w:tcPr>
          <w:p>
            <w:pPr>
              <w:spacing w:before="100" w:after="100"/>
            </w:pPr>
            <w:r>
              <w:rPr>
                <w:rFonts w:ascii="Arial" w:hAnsi="Arial"/>
                <w:color w:val="F4F4F2"/>
                <w:sz w:val="19"/>
              </w:rPr>
              <w:t>Deconstruct neurotypical patterns to find sensory baselines.</w:t>
            </w:r>
          </w:p>
        </w:tc>
        <w:tc>
          <w:tcPr>
            <w:tcW w:type="dxa" w:w="3202"/>
            <w:shd w:fill="121212"/>
            <w:tcBorders>
              <w:bottom w:val="single" w:sz="6" w:space="0" w:color="2D2D2D"/>
            </w:tcBorders>
          </w:tcPr>
          <w:p>
            <w:pPr>
              <w:spacing w:before="100" w:after="100"/>
              <w:jc w:val="right"/>
            </w:pPr>
            <w:r>
              <w:rPr>
                <w:rFonts w:ascii="Arial" w:hAnsi="Arial"/>
                <w:b/>
                <w:color w:val="F4F4F2"/>
                <w:sz w:val="19"/>
              </w:rPr>
              <w:t>CRITICAL</w:t>
            </w:r>
          </w:p>
        </w:tc>
      </w:tr>
      <w:tr>
        <w:tc>
          <w:tcPr>
            <w:tcW w:type="dxa" w:w="3202"/>
            <w:shd w:fill="1E1E1E"/>
            <w:tcBorders>
              <w:bottom w:val="single" w:sz="6" w:space="0" w:color="2D2D2D"/>
            </w:tcBorders>
          </w:tcPr>
          <w:p>
            <w:pPr>
              <w:spacing w:before="100" w:after="100"/>
            </w:pPr>
            <w:r>
              <w:rPr>
                <w:rFonts w:ascii="Arial" w:hAnsi="Arial"/>
                <w:b/>
                <w:color w:val="FF2E88"/>
                <w:sz w:val="19"/>
              </w:rPr>
              <w:t>SYSTEMS &amp; TOOLS</w:t>
            </w:r>
          </w:p>
        </w:tc>
        <w:tc>
          <w:tcPr>
            <w:tcW w:type="dxa" w:w="3202"/>
            <w:shd w:fill="1E1E1E"/>
            <w:tcBorders>
              <w:bottom w:val="single" w:sz="6" w:space="0" w:color="2D2D2D"/>
            </w:tcBorders>
          </w:tcPr>
          <w:p>
            <w:pPr>
              <w:spacing w:before="100" w:after="100"/>
            </w:pPr>
            <w:r>
              <w:rPr>
                <w:rFonts w:ascii="Arial" w:hAnsi="Arial"/>
                <w:color w:val="F4F4F2"/>
                <w:sz w:val="19"/>
              </w:rPr>
              <w:t>Tactical templates designed to support fluctuating energy.</w:t>
            </w:r>
          </w:p>
        </w:tc>
        <w:tc>
          <w:tcPr>
            <w:tcW w:type="dxa" w:w="3202"/>
            <w:shd w:fill="1E1E1E"/>
            <w:tcBorders>
              <w:bottom w:val="single" w:sz="6" w:space="0" w:color="2D2D2D"/>
            </w:tcBorders>
          </w:tcPr>
          <w:p>
            <w:pPr>
              <w:spacing w:before="100" w:after="100"/>
              <w:jc w:val="right"/>
            </w:pPr>
            <w:r>
              <w:rPr>
                <w:rFonts w:ascii="Arial" w:hAnsi="Arial"/>
                <w:b/>
                <w:color w:val="F4F4F2"/>
                <w:sz w:val="19"/>
              </w:rPr>
              <w:t>HIGH</w:t>
            </w:r>
          </w:p>
        </w:tc>
      </w:tr>
      <w:tr>
        <w:tc>
          <w:tcPr>
            <w:tcW w:type="dxa" w:w="3202"/>
            <w:shd w:fill="121212"/>
            <w:tcBorders>
              <w:bottom w:val="single" w:sz="6" w:space="0" w:color="2D2D2D"/>
            </w:tcBorders>
          </w:tcPr>
          <w:p>
            <w:pPr>
              <w:spacing w:before="100" w:after="100"/>
            </w:pPr>
            <w:r>
              <w:rPr>
                <w:rFonts w:ascii="Arial" w:hAnsi="Arial"/>
                <w:b/>
                <w:color w:val="FF2E88"/>
                <w:sz w:val="19"/>
              </w:rPr>
              <w:t>DIGITAL PLAY</w:t>
            </w:r>
          </w:p>
        </w:tc>
        <w:tc>
          <w:tcPr>
            <w:tcW w:type="dxa" w:w="3202"/>
            <w:shd w:fill="121212"/>
            <w:tcBorders>
              <w:bottom w:val="single" w:sz="6" w:space="0" w:color="2D2D2D"/>
            </w:tcBorders>
          </w:tcPr>
          <w:p>
            <w:pPr>
              <w:spacing w:before="100" w:after="100"/>
            </w:pPr>
            <w:r>
              <w:rPr>
                <w:rFonts w:ascii="Arial" w:hAnsi="Arial"/>
                <w:color w:val="F4F4F2"/>
                <w:sz w:val="19"/>
              </w:rPr>
              <w:t>Sleek, friction-free workflows mapped to modern devices.</w:t>
            </w:r>
          </w:p>
        </w:tc>
        <w:tc>
          <w:tcPr>
            <w:tcW w:type="dxa" w:w="3202"/>
            <w:shd w:fill="121212"/>
            <w:tcBorders>
              <w:bottom w:val="single" w:sz="6" w:space="0" w:color="2D2D2D"/>
            </w:tcBorders>
          </w:tcPr>
          <w:p>
            <w:pPr>
              <w:spacing w:before="100" w:after="100"/>
              <w:jc w:val="right"/>
            </w:pPr>
            <w:r>
              <w:rPr>
                <w:rFonts w:ascii="Arial" w:hAnsi="Arial"/>
                <w:b/>
                <w:color w:val="F4F4F2"/>
                <w:sz w:val="19"/>
              </w:rPr>
              <w:t>MEDIUM</w:t>
            </w:r>
          </w:p>
        </w:tc>
      </w:tr>
    </w:tbl>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120"/>
    </w:pPr>
    <w:rPr>
      <w:rFonts w:ascii="Arial" w:hAnsi="Arial"/>
      <w:color w:val="F4F4F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entury Gothic" w:hAnsi="Century Gothic"/>
      <w:b/>
      <w:bCs/>
      <w:color w:val="FF2E88"/>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entury Gothic" w:hAnsi="Century Gothic"/>
      <w:b/>
      <w:bCs/>
      <w:color w:val="F4F4F2"/>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entury Gothic" w:hAnsi="Century Gothic"/>
      <w:b/>
      <w:bCs/>
      <w:i/>
      <w:color w:val="FF2E8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Bdr>
        <w:bottom w:val="single" w:sz="12" w:space="8" w:color="FF2E88"/>
      </w:pBdr>
    </w:pPr>
    <w:rPr>
      <w:rFonts w:asciiTheme="majorHAnsi" w:eastAsiaTheme="majorEastAsia" w:hAnsiTheme="majorHAnsi" w:cstheme="majorBidi" w:ascii="Century Gothic" w:hAnsi="Century Gothic"/>
      <w:b/>
      <w:color w:val="F4F4F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pPr>
    <w:rPr>
      <w:rFonts w:asciiTheme="majorHAnsi" w:eastAsiaTheme="majorEastAsia" w:hAnsiTheme="majorHAnsi" w:cstheme="majorBidi" w:ascii="Arial" w:hAnsi="Arial"/>
      <w:i/>
      <w:iCs/>
      <w:color w:val="9A938B"/>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contextualSpacing/>
    </w:pPr>
    <w:rPr>
      <w:rFonts w:ascii="Arial" w:hAnsi="Arial"/>
      <w:color w:val="F4F4F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