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Para que serve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Este é o gabarito da dinâmica. Ele diz, caso a caso, o que se espera ouvir de um grupo e o que separa uma resposta rasa de uma resposta forte.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Não existe resposta certa no desafio, mas existe resposta rasa. A diferença entre as duas precisa ser a mesma na terça e na quinta, com mesas diferentes. É para isso que este documento existe: ele calibra o avaliador, não corrige o grupo.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As situações operacionais da sala </w:t>
      </w:r>
      <w:r>
        <w:rPr>
          <w:rFonts w:ascii="Arial" w:cs="Arial" w:eastAsia="Arial" w:hAnsi="Arial"/>
          <w:sz w:val="22"/>
          <w:szCs w:val="22"/>
        </w:rPr>
        <w:t xml:space="preserve">(Wi-Fi que cai, grupo travado, sala atrasada)</w:t>
      </w:r>
      <w:r>
        <w:rPr>
          <w:rFonts w:ascii="Arial" w:cs="Arial" w:eastAsia="Arial" w:hAnsi="Arial"/>
          <w:sz w:val="22"/>
          <w:szCs w:val="22"/>
        </w:rPr>
        <w:t xml:space="preserve"> estão no NRO-PES-020, na tabela "O que pode dar errado". Aqui só tem o conteúdo do desafio.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Como usar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Leia antes. </w:t>
      </w:r>
      <w:r>
        <w:rPr>
          <w:rFonts w:ascii="Arial" w:cs="Arial" w:eastAsia="Arial" w:hAnsi="Arial"/>
          <w:sz w:val="22"/>
          <w:szCs w:val="22"/>
        </w:rPr>
        <w:t xml:space="preserve">Antes da janela, não durante. Quem lê isto no meio do trabalho em grupo passa a caçar as palavras do papel na boca dos candidatos, e deixa de ver o que interessa.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Não é checklist. Nenhum grupo perde ponto por não citar o que está aqui. O gabarito diz o que costuma aparecer, não o que precisa aparecer.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Se um grupo trouxer coisa melhor do que está escrito aqui, é 5, e o gabarito é que ficou velho. Anote no fim da janela e traga para a revisão do fim da edição.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 leitura vale na calibração da mesa, depois que a última pessoa sai, quando os cinco minutos combinados servem para acertar a régua entre os avaliadores.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O que separa 1 de 5, em qualquer caso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Esta tabela vale para os quatro casos. Ela olha o registro do grupo, campo a campo.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862"/>
        <w:gridCol w:w="2793"/>
        <w:gridCol w:w="2690"/>
        <w:gridCol w:w="3000"/>
      </w:tblGrid>
      <w:tr>
        <w:trPr>
          <w:tblHeader/>
        </w:trPr>
        <w:tc>
          <w:tcPr>
            <w:tcW w:w="1862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2793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Resposta rasa</w:t>
            </w:r>
          </w:p>
        </w:tc>
        <w:tc>
          <w:tcPr>
            <w:tcW w:w="2690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Resposta adequada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Resposta forte</w:t>
            </w:r>
          </w:p>
        </w:tc>
      </w:tr>
      <w:tr>
        <w:tc>
          <w:tcPr>
            <w:tcW w:w="186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é e o que muda na vida dela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Repete o enunciado, ou fala em função ("recuperar a preensão") em vez de vida.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Diz uma coisa concreta que a pessoa passa a fazer.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Nomeia a situação, o momento do dia e quem mais é afetado pela mudança.</w:t>
            </w:r>
          </w:p>
        </w:tc>
      </w:tr>
      <w:tr>
        <w:tc>
          <w:tcPr>
            <w:tcW w:w="186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mínimo que resolve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tecnologia sem função, ou solução que ignora uma das restrições.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dispositivo que faz uma coisa clara e cabe nas restrições dadas.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Escolhe o menor escopo que resolve e diz o que ficou de fora de propósito.</w:t>
            </w:r>
          </w:p>
        </w:tc>
      </w:tr>
      <w:tr>
        <w:tc>
          <w:tcPr>
            <w:tcW w:w="186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saberiam que funcionou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"Testar com o usuário", sem dizer o que seria medido.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teste com quem, onde e o que se mede.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a medida antes, diz como está hoje e prevê o resultado que faria o grupo desistir da ideia.</w:t>
            </w:r>
          </w:p>
        </w:tc>
      </w:tr>
      <w:tr>
        <w:tc>
          <w:tcPr>
            <w:tcW w:w="186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maior risco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genérico: prazo, orçamento, "pode dar errado".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risco do projeto, ligado a uma das restrições.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risco que mata o projeto, com o que fazer na primeira semana para descobrir cedo.</w:t>
            </w:r>
          </w:p>
        </w:tc>
      </w:tr>
      <w:tr>
        <w:tc>
          <w:tcPr>
            <w:tcW w:w="186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faz o quê</w:t>
            </w:r>
          </w:p>
        </w:tc>
        <w:tc>
          <w:tcPr>
            <w:tcW w:w="2793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Divide por área sem entrega, ou não divide.</w:t>
            </w:r>
          </w:p>
        </w:tc>
        <w:tc>
          <w:tcPr>
            <w:tcW w:w="269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entrega por pessoa nas duas semanas.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 o que cada um sabe, inclui quem fala com o usuário e prevê onde as partes se encontram.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Um sinal transversal, que vale mais que qualquer campo: </w:t>
      </w:r>
      <w:r>
        <w:rPr>
          <w:rFonts w:ascii="Arial" w:cs="Arial" w:eastAsia="Arial" w:hAnsi="Arial"/>
          <w:b/>
          <w:sz w:val="22"/>
          <w:szCs w:val="22"/>
        </w:rPr>
        <w:t xml:space="preserve">o grupo perguntou algo sobre a pessoa que o enunciado não respondia?</w:t>
      </w:r>
      <w:r>
        <w:rPr>
          <w:rFonts w:ascii="Arial" w:cs="Arial" w:eastAsia="Arial" w:hAnsi="Arial"/>
          <w:sz w:val="22"/>
          <w:szCs w:val="22"/>
        </w:rPr>
        <w:t xml:space="preserve"> Quem faz isso está projetando para alguém. Quem não faz está resolvendo um exercício.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Caso 1: A mão que não solta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O que o caso testa: </w:t>
      </w:r>
      <w:r>
        <w:rPr>
          <w:rFonts w:ascii="Arial" w:cs="Arial" w:eastAsia="Arial" w:hAnsi="Arial"/>
          <w:sz w:val="22"/>
          <w:szCs w:val="22"/>
        </w:rPr>
        <w:t xml:space="preserve">separar a função ("abrir a mão") do que a pessoa quer ("comer sozinho em público"). O grupo que fica na função projeta uma órtese genérica. O grupo que fica na necessidade percebe que discrição e vestir sozinho são requisitos, não acabamento.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48"/>
        <w:gridCol w:w="4139"/>
        <w:gridCol w:w="4760"/>
      </w:tblGrid>
      <w:tr>
        <w:trPr>
          <w:tblHeader/>
        </w:trPr>
        <w:tc>
          <w:tcPr>
            <w:tcW w:w="1448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4139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O que se espera ouvir</w:t>
            </w:r>
          </w:p>
        </w:tc>
        <w:tc>
          <w:tcPr>
            <w:tcW w:w="4760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Sinal de resposta forte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é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 volta a comer fora de casa sem pedir ajuda.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Nomeia o constrangimento, não só a mecânica. Cita que a mudança é social antes de ser motora.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mínimo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 que abre a mão sob comando dele, leve e discreto.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Diz como ele aciona (o outro braço, um botão, o próprio movimento) e reconhece que ele precisa vestir o dispositivo sozinho.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teste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refeição real, contando quantas vezes ele precisou de ajuda.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Estabelece a linha de base antes ("hoje pede ajuda X vezes por refeição") e testa com ele, não com um membro da equipe.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risco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 não conseguir colocar sozinho, ou achar chamativo e não usar.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Propõe descobrir isso na primeira semana, com um protótipo feio, antes de projetar bonito.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time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constrói e quem fala com ele.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Nomeia alguém da saúde ou da comunicação para a conversa com o usuário, além de quem monta.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Erros comuns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Exoesqueleto de mão com motor em cada dedo. São seis meses e três pessoas.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Tratar "não chamar atenção" como acabamento, quando é a restrição que decide se ele usa.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Esquecer que ele veste o dispositivo com uma mão só.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Medir força de preensão em newtons em vez de refeições sem ajuda.</w:t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A pergunta da apresentação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Como ele coloca isso sozinho, com uma mão?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Caso 2: O treino que ninguém vê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O que o caso testa: </w:t>
      </w:r>
      <w:r>
        <w:rPr>
          <w:rFonts w:ascii="Arial" w:cs="Arial" w:eastAsia="Arial" w:hAnsi="Arial"/>
          <w:sz w:val="22"/>
          <w:szCs w:val="22"/>
        </w:rPr>
        <w:t xml:space="preserve">quem é o usuário do dado. O dispositivo é para ela, mas o número é para o fisioterapeuta. Grupo que confunde os dois entrega um painel de engenheiro que ninguém na sala de treino consegue ler.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48"/>
        <w:gridCol w:w="4139"/>
        <w:gridCol w:w="4760"/>
      </w:tblGrid>
      <w:tr>
        <w:trPr>
          <w:tblHeader/>
        </w:trPr>
        <w:tc>
          <w:tcPr>
            <w:tcW w:w="1448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4139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O que se espera ouvir</w:t>
            </w:r>
          </w:p>
        </w:tc>
        <w:tc>
          <w:tcPr>
            <w:tcW w:w="4760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Sinal de resposta forte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é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 e o fisioterapeuta saem do treino sabendo se foi melhor que o anterior.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 os dois usuários e diz o que cada um faz com a informação.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mínimo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medida só, coletada sem trocar o triciclo.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Escolhe uma grandeza e justifica a escolha, e diz como ela aparece: um número, três treinos lado a lado, nada além disso.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teste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Comparar com o que o fisioterapeuta já anota hoje.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 a leitura, não só a medição: mostra a tela para três fisioterapeutas e vê se dizem a mesma coisa.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risco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Medir algo que varia por motivo errado e ser lido como piora.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Propõe medir a repetibilidade antes de confiar no número: mesmo treino, dois dias, mesma leitura?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time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instrumenta e quem acompanha o treino.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Alguém da clínica desenha a medida, alguém da engenharia instrumenta, alguém escreve o que aparece na tela.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Erros comuns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Trocar o triciclo. A restrição diz que ele já existe e fica.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Painel com dez gráficos. Um número que ninguém lê vale zero.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Esquecer o "no mesmo dia": relatório semanal não atende o pedido.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Coletar sinal bruto e chamar isso de evolução. Dado não é resposta.</w:t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A pergunta da apresentação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Se o número der pior num dia, o que o fisioterapeuta faz com isso?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Caso 3: A cadeira que some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O que o caso testa: </w:t>
      </w:r>
      <w:r>
        <w:rPr>
          <w:rFonts w:ascii="Arial" w:cs="Arial" w:eastAsia="Arial" w:hAnsi="Arial"/>
          <w:sz w:val="22"/>
          <w:szCs w:val="22"/>
        </w:rPr>
        <w:t xml:space="preserve">que o sistema não termina no dispositivo. Aviso sem alguém do outro lado é barulho. Testa também restrição de infraestrutura e de dinheiro, que costumam ser as primeiras a serem ignoradas.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48"/>
        <w:gridCol w:w="4139"/>
        <w:gridCol w:w="4760"/>
      </w:tblGrid>
      <w:tr>
        <w:trPr>
          <w:tblHeader/>
        </w:trPr>
        <w:tc>
          <w:tcPr>
            <w:tcW w:w="1448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4139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O que se espera ouvir</w:t>
            </w:r>
          </w:p>
        </w:tc>
        <w:tc>
          <w:tcPr>
            <w:tcW w:w="4760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Sinal de resposta forte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é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 sai da sala sabendo que consegue pedir ajuda.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Nomeia quem chega quando ele chama. O usuário do sistema é ele e mais alguém.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mínimo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acionamento grande, alcançável pela mão que ele controla, que chega a uma pessoa.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Escolhe um canal compatível com a restrição (som local, rádio de curto alcance, o celular de quem está por perto) em vez de nuvem.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teste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Ensaiar na escola, cronometrando o tempo até alguém chegar.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 em três pontos do prédio e olha o pior deles, não o melhor.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risco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Ninguém atender, ou o acionamento acidental transformar o aviso em rotina ignorada.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Propõe combinar com a direção da escola quem responde, antes de construir qualquer coisa.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time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monta o acionamento e quem fala com a escola.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Alguém assume a conversa com a escola. Sem isso o projeto não existe, e o grupo que percebe isso está enxergando o sistema inteiro.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Erros comuns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Aplicativo com nuvem e notificação. A escola não tem Wi-Fi confiável e a família não paga mensalidade.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Botão que exige preensão fina ou toque preciso.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GPS. Ele está dentro de um prédio, e o problema não é saber onde ele está.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Resolver o aviso e esquecer o atendimento: quem responde, em que horário, e o que faz ao chegar.</w:t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A pergunta da apresentação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Quem recebe o aviso às três da tarde de uma quarta, e o que essa pessoa faz?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Caso 4: A prótese que dói no fim do dia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b/>
          <w:sz w:val="22"/>
          <w:szCs w:val="22"/>
        </w:rPr>
        <w:t xml:space="preserve">O que o caso testa: </w:t>
      </w:r>
      <w:r>
        <w:rPr>
          <w:rFonts w:ascii="Arial" w:cs="Arial" w:eastAsia="Arial" w:hAnsi="Arial"/>
          <w:sz w:val="22"/>
          <w:szCs w:val="22"/>
        </w:rPr>
        <w:t xml:space="preserve">medir para agir. A restrição de não carregar mais nada empurra a solução para dentro da prótese, e a de o dado servir ao protesista impede que a resposta pare no sensor.</w:t>
      </w:r>
    </w:p>
    <w:tbl>
      <w:tblPr>
        <w:tblW w:w="103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448"/>
        <w:gridCol w:w="4139"/>
        <w:gridCol w:w="4760"/>
      </w:tblGrid>
      <w:tr>
        <w:trPr>
          <w:tblHeader/>
        </w:trPr>
        <w:tc>
          <w:tcPr>
            <w:tcW w:w="1448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4139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O que se espera ouvir</w:t>
            </w:r>
          </w:p>
        </w:tc>
        <w:tc>
          <w:tcPr>
            <w:tcW w:w="4760" w:type="dxa"/>
            <w:shd w:val="clear" w:color="auto" w:fill="EFEFE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b/>
                <w:sz w:val="20"/>
                <w:szCs w:val="20"/>
              </w:rPr>
              <w:t xml:space="preserve">Sinal de resposta forte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é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 chega no fim do dia sem ferida, porque soube parar ou ajustar antes.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Diz o que ele faz quando o aviso chega: senta, tira, troca a meia. Aviso sem ação não muda nada.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mínimo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Sensor dentro do encaixe, que não exige nada dele durante o dia.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Diz o que dispara o aviso (pressão acumulada, temperatura, tempo em pé) e como ele percebe: vibração, não tela.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teste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dia de trabalho real com registro.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 o registro com a marca na pele no fim do dia. A pele é a referência que já existe.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risco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sensor incomodar mais que o problema, ou o aviso disparar tanto que ele desliga.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Propõe achar o limiar com ele, ao longo de alguns dias, em vez de fixar um número no papel.</w:t>
            </w:r>
          </w:p>
        </w:tc>
      </w:tr>
      <w:tr>
        <w:tc>
          <w:tcPr>
            <w:tcW w:w="1448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time</w:t>
            </w:r>
          </w:p>
        </w:tc>
        <w:tc>
          <w:tcPr>
            <w:tcW w:w="4139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faz a eletrônica e quem acompanha o uso.</w:t>
            </w:r>
          </w:p>
        </w:tc>
        <w:tc>
          <w:tcPr>
            <w:tcW w:w="476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76" w:lineRule="auto"/>
              <w:rPr>
                <w:rFonts w:ascii="Arial" w:cs="Arial" w:eastAsia="Arial" w:hAnsi="Arial"/>
                <w:sz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Inclui quem conversa com o protesista. O dado é para ele, e é ele que transforma o dado em ajuste no encaixe.</w:t>
            </w:r>
          </w:p>
        </w:tc>
      </w:tr>
    </w:tbl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Erros comuns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Aplicativo que ele precisa consultar. Ele está trabalhando em pé.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Medir e mostrar na consulta seguinte. "Antes da ferida" quer dizer durante o dia.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Sensor grosso justamente no ponto de maior pressão.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Parar no sensor e esquecer o protesista, que só vê ele de dois em dois meses.</w:t>
      </w:r>
    </w:p>
    <w:p>
      <w:pPr>
        <w:pStyle w:val="Heading2"/>
        <w:spacing w:before="240" w:after="120" w:line="276" w:lineRule="auto"/>
        <w:rPr>
          <w:rFonts w:ascii="Arial" w:cs="Arial" w:eastAsia="Arial" w:hAnsi="Arial"/>
          <w:sz w:val="32"/>
        </w:rPr>
      </w:pPr>
      <w:r>
        <w:rPr>
          <w:rFonts w:ascii="Arial" w:cs="Arial" w:eastAsia="Arial" w:hAnsi="Arial"/>
          <w:sz w:val="32"/>
          <w:szCs w:val="32"/>
        </w:rPr>
        <w:t xml:space="preserve">A pergunta da apresentação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 aviso chega e ele está atendendo um cliente. O que acontece?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O registro é do grupo, a nota é da pessoa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Este gabarito mede o texto que o grupo entregou. A nota que vai para a ficha mede gente. São coisas diferentes, e confundir as duas é o erro mais caro da fase.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Grupo com registro fraco pode ter dentro dele a pessoa que tentou puxar o time três vezes e não foi ouvida. Grupo com registro forte pode ter alguém que só assistiu. Depois de ler o texto, a pergunta é sempre a mesma: quem fez isso acontecer, e como?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Os cinco critérios e as âncoras de nota estão no NRO-PES-020 e na tela da mesa. Use este documento para julgar o artefato e aqueles para julgar a pessoa.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A calibração da mesa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Cinco minutos depois que a última pessoa sai, ainda na sala: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Cada avaliador diz em voz alta quem aprovaria sem dúvida e quem reprovaria sem dúvida.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Onde as listas divergirem, cada um conta o fato que observou, com a hora. Não a impressão.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Se a divergência for sobre o registro do grupo, abram este documento no caso em questão.</w:t>
      </w:r>
    </w:p>
    <w:p>
      <w:pPr>
        <w:numPr>
          <w:ilvl w:val="0"/>
          <w:numId w:val="2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Se a divergência continuar, a nota fica como está e a diferença vira assunto da reunião de decisão. Ninguém muda nota para fechar consenso na hora.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Duas mesas que nunca divergem provavelmente não estão olhando, e duas que divergem em todo candidato estão usando réguas diferentes. As duas coisas aparecem aqui, e as duas se resolvem relendo as âncoras.</w:t>
      </w:r>
    </w:p>
    <w:p>
      <w:pPr>
        <w:pStyle w:val="Heading1"/>
        <w:spacing w:before="320" w:after="120" w:line="276" w:lineRule="auto"/>
        <w:rPr>
          <w:rFonts w:ascii="Arial" w:cs="Arial" w:eastAsia="Arial" w:hAnsi="Arial"/>
          <w:sz w:val="40"/>
        </w:rPr>
      </w:pPr>
      <w:r>
        <w:rPr>
          <w:rFonts w:ascii="Arial" w:cs="Arial" w:eastAsia="Arial" w:hAnsi="Arial"/>
          <w:sz w:val="40"/>
          <w:szCs w:val="40"/>
        </w:rPr>
        <w:t xml:space="preserve">Manutenção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No fim de cada edição, com as janelas todas realizadas, vale meia hora de revisão: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Qual caso rendeu discussão e qual todo grupo resolveu igual? O segundo está fácil demais.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Qual campo do registro ficou vazio na maioria dos grupos? Ou o enunciado não está claro, ou 25 minutos não dão para cinco campos.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Que resposta apareceu e não estava prevista aqui? Se foi boa, entra no gabarito.</w:t>
      </w:r>
    </w:p>
    <w:p>
      <w:pPr>
        <w:numPr>
          <w:ilvl w:val="0"/>
          <w:numId w:val="1"/>
        </w:numPr>
        <w:spacing w:before="0" w:after="6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Algum erro comum sumiu? Talvez o briefing tenha melhorado, e a linha pode sair.</w:t>
      </w:r>
    </w:p>
    <w:p>
      <w:pPr>
        <w:spacing w:before="0" w:after="120" w:line="276" w:lineRule="auto"/>
        <w:rPr>
          <w:rFonts w:ascii="Arial" w:cs="Arial" w:eastAsia="Arial" w:hAnsi="Arial"/>
          <w:sz w:val="22"/>
        </w:rPr>
      </w:pPr>
      <w:r>
        <w:rPr>
          <w:rFonts w:ascii="Arial" w:cs="Arial" w:eastAsia="Arial" w:hAnsi="Arial"/>
          <w:sz w:val="22"/>
          <w:szCs w:val="22"/>
        </w:rPr>
        <w:t xml:space="preserve">Os casos, os campos e os critérios são editados em </w:t>
      </w:r>
      <w:r>
        <w:rPr>
          <w:rFonts w:ascii="Arial" w:cs="Arial" w:eastAsia="Arial" w:hAnsi="Arial"/>
          <w:b/>
          <w:sz w:val="22"/>
          <w:szCs w:val="22"/>
        </w:rPr>
        <w:t xml:space="preserve">SOMA, Seleção, Dinâmica</w:t>
      </w:r>
      <w:r>
        <w:rPr>
          <w:rFonts w:ascii="Arial" w:cs="Arial" w:eastAsia="Arial" w:hAnsi="Arial"/>
          <w:sz w:val="22"/>
          <w:szCs w:val="22"/>
        </w:rPr>
        <w:t xml:space="preserve">. Ao mudar um caso lá, atualize a seção correspondente deste documento na mesma revisão: gabarito que descreve um caso que não existe mais é pior que gabarito nenhum.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417" w:top="1843" w:left="851" w:right="707" w:header="709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Departamento de Pessoal</w:t>
    </w:r>
    <w:r w:rsidDel="00000000" w:rsidR="00000000" w:rsidRPr="00000000">
      <w:rPr>
        <w:b w:val="1"/>
        <w:bCs w:val="1"/>
        <w:rtl w:val="0"/>
      </w:rPr>
      <w:t xml:space="preserve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31118</wp:posOffset>
          </wp:positionH>
          <wp:positionV relativeFrom="paragraph">
            <wp:posOffset>-3168</wp:posOffset>
          </wp:positionV>
          <wp:extent cx="1910104" cy="3238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0104" cy="323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BENCHMARK DA DINÂMICA EM GRUPO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NRO-P</w:t>
    </w:r>
    <w:r w:rsidDel="00000000" w:rsidR="00000000" w:rsidRPr="00000000">
      <w:rPr>
        <w:rtl w:val="0"/>
      </w:rPr>
      <w:t xml:space="preserve">ES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-0</w:t>
    </w:r>
    <w:r w:rsidDel="00000000" w:rsidR="00000000" w:rsidRPr="00000000">
      <w:rPr>
        <w:rtl w:val="0"/>
      </w:rPr>
      <w:t xml:space="preserve">21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Rev. 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59595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240" w:before="24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u/0/d/1ypj3VOlxW5qKLrWDjYaRjIJGcHclq7hx/edit" TargetMode="External"/><Relationship Id="rId8" Type="http://schemas.openxmlformats.org/officeDocument/2006/relationships/hyperlink" Target="https://docs.google.com/spreadsheets/u/0/d/1ypj3VOlxW5qKLrWDjYaRjIJGcHclq7hx/edi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L1S4Rbot9ydXYhKnPJ26NskOA==">CgMxLjAyDmgubmlxMHVhcHIzendqMg5oLnR3M3Btbm1ra2VyeDIOaC5lZWdrZTZybTBqdDQyDmguZGV5YzViMnJ2M2NmMg5oLmQ3YzVmeThyd2UzMzIOaC41eDJmd2JjNmgwNG4yDmguaDlzZXJvdTE4emp4OAByITFrV2NaQWtFT0hyMHRKRk5hUk4tbXlTZ1VQQk1zOTloWQ==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