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19C" w:rsidRPr="006F6DA3" w:rsidRDefault="0098419C" w:rsidP="0098419C">
      <w:pPr>
        <w:tabs>
          <w:tab w:val="left" w:pos="461"/>
        </w:tabs>
        <w:rPr>
          <w:b/>
        </w:rPr>
      </w:pPr>
      <w:r w:rsidRPr="006F6DA3">
        <w:rPr>
          <w:b/>
          <w:bCs/>
        </w:rPr>
        <w:t>Design and analysis (study design, inclusion/exclusion, outcome and other variables of interest with specific reference to the time of their collection, summary of data analysis, and anticipated methodologic limitations or challenges).</w:t>
      </w:r>
    </w:p>
    <w:p w:rsidR="0098419C" w:rsidRDefault="0098419C" w:rsidP="0098419C"/>
    <w:p w:rsidR="0098419C" w:rsidRPr="004270E6" w:rsidRDefault="0098419C" w:rsidP="0098419C">
      <w:pPr>
        <w:rPr>
          <w:b/>
          <w:i/>
        </w:rPr>
      </w:pPr>
      <w:r>
        <w:rPr>
          <w:b/>
          <w:i/>
        </w:rPr>
        <w:t xml:space="preserve">1. </w:t>
      </w:r>
      <w:r w:rsidRPr="004270E6">
        <w:rPr>
          <w:b/>
          <w:i/>
        </w:rPr>
        <w:t>Methods/Study Design</w:t>
      </w:r>
    </w:p>
    <w:p w:rsidR="0098419C" w:rsidRPr="00761C3F" w:rsidRDefault="0098419C" w:rsidP="0098419C">
      <w:r>
        <w:t xml:space="preserve">     </w:t>
      </w:r>
      <w:r w:rsidRPr="00761C3F">
        <w:t>A cross-sectional predictive model comparing predictors with robust, pre-frail and frail participants developed from the</w:t>
      </w:r>
      <w:r>
        <w:t xml:space="preserve"> baseline InCHIANTI data</w:t>
      </w:r>
      <w:r w:rsidRPr="00761C3F">
        <w:t xml:space="preserve"> will be used to </w:t>
      </w:r>
      <w:r>
        <w:t>replicate</w:t>
      </w:r>
      <w:r w:rsidRPr="00761C3F">
        <w:t xml:space="preserve"> a population predictive model</w:t>
      </w:r>
      <w:r>
        <w:t xml:space="preserve"> in </w:t>
      </w:r>
      <w:r w:rsidRPr="00D4364E">
        <w:rPr>
          <w:color w:val="000000" w:themeColor="text1"/>
        </w:rPr>
        <w:t xml:space="preserve">ARIC. </w:t>
      </w:r>
      <w:r w:rsidR="00824B9C">
        <w:rPr>
          <w:color w:val="000000" w:themeColor="text1"/>
        </w:rPr>
        <w:t xml:space="preserve">The </w:t>
      </w:r>
      <w:r w:rsidRPr="00D4364E">
        <w:rPr>
          <w:color w:val="000000" w:themeColor="text1"/>
        </w:rPr>
        <w:t xml:space="preserve">ARIC model </w:t>
      </w:r>
      <w:r w:rsidR="00824B9C">
        <w:rPr>
          <w:color w:val="000000" w:themeColor="text1"/>
        </w:rPr>
        <w:t>is</w:t>
      </w:r>
      <w:r w:rsidRPr="00D4364E">
        <w:rPr>
          <w:color w:val="000000" w:themeColor="text1"/>
        </w:rPr>
        <w:t xml:space="preserve"> </w:t>
      </w:r>
      <w:r w:rsidRPr="00824B9C">
        <w:rPr>
          <w:color w:val="000000" w:themeColor="text1"/>
        </w:rPr>
        <w:t xml:space="preserve">run separately with a comparison of the AUC. The results </w:t>
      </w:r>
      <w:r w:rsidRPr="00824B9C">
        <w:rPr>
          <w:color w:val="000000"/>
        </w:rPr>
        <w:t>discuss the attributable AUC differences in part based on outcome derivations</w:t>
      </w:r>
      <w:r w:rsidRPr="007A2C0B">
        <w:rPr>
          <w:color w:val="000000"/>
        </w:rPr>
        <w:t>.</w:t>
      </w:r>
      <w:r w:rsidRPr="00761C3F">
        <w:t xml:space="preserve"> </w:t>
      </w:r>
      <w:r w:rsidR="00824B9C">
        <w:t>T</w:t>
      </w:r>
      <w:r w:rsidRPr="00761C3F">
        <w:t xml:space="preserve">he top predictive </w:t>
      </w:r>
      <w:r>
        <w:t xml:space="preserve">biological </w:t>
      </w:r>
      <w:r w:rsidRPr="00761C3F">
        <w:t xml:space="preserve">features for the pre-frail and frail model 1 </w:t>
      </w:r>
      <w:r>
        <w:t xml:space="preserve">from the InCHIANTI study </w:t>
      </w:r>
      <w:r w:rsidRPr="00761C3F">
        <w:t xml:space="preserve">with </w:t>
      </w:r>
      <w:r w:rsidR="00824B9C">
        <w:t xml:space="preserve">2 rounds 10 iterations resulting in </w:t>
      </w:r>
      <w:proofErr w:type="gramStart"/>
      <w:r w:rsidR="00824B9C">
        <w:t>a</w:t>
      </w:r>
      <w:proofErr w:type="gramEnd"/>
      <w:r w:rsidR="00824B9C">
        <w:t xml:space="preserve"> </w:t>
      </w:r>
      <w:r w:rsidRPr="00761C3F">
        <w:t xml:space="preserve">AUC 0.9387 </w:t>
      </w:r>
      <w:r>
        <w:t>(</w:t>
      </w:r>
      <w:r w:rsidRPr="00761C3F">
        <w:t>95% CI 0.89-0.98</w:t>
      </w:r>
      <w:r>
        <w:t>)</w:t>
      </w:r>
      <w:r w:rsidRPr="00761C3F">
        <w:t xml:space="preserve">. </w:t>
      </w:r>
      <w:r>
        <w:t>Using data from</w:t>
      </w:r>
      <w:r w:rsidRPr="00761C3F">
        <w:t xml:space="preserve"> the Atherosclerosis Risk in Communities Study (ARIC)</w:t>
      </w:r>
      <w:r>
        <w:t>, p</w:t>
      </w:r>
      <w:r w:rsidRPr="00761C3F">
        <w:t xml:space="preserve">redictors from Model 1 developed in the InCHIANTI data </w:t>
      </w:r>
      <w:r w:rsidR="00824B9C">
        <w:t>is</w:t>
      </w:r>
      <w:r w:rsidRPr="00761C3F">
        <w:t xml:space="preserve"> used to </w:t>
      </w:r>
      <w:r>
        <w:t>replicate the frailty model.</w:t>
      </w:r>
      <w:r w:rsidRPr="00761C3F">
        <w:t xml:space="preserve"> Figure 1 represents the workflow process </w:t>
      </w:r>
      <w:r w:rsidR="00824B9C">
        <w:t>that is</w:t>
      </w:r>
      <w:r w:rsidRPr="00761C3F">
        <w:t xml:space="preserve"> used to </w:t>
      </w:r>
      <w:r>
        <w:t>replicate</w:t>
      </w:r>
      <w:r w:rsidRPr="00761C3F">
        <w:t xml:space="preserve"> the frailty prediction model in the ARIC dataset. </w:t>
      </w:r>
    </w:p>
    <w:p w:rsidR="0098419C" w:rsidRDefault="0098419C" w:rsidP="0098419C">
      <w:pPr>
        <w:tabs>
          <w:tab w:val="left" w:pos="461"/>
        </w:tabs>
        <w:rPr>
          <w:rFonts w:asciiTheme="minorHAnsi" w:hAnsiTheme="minorHAnsi" w:cstheme="minorHAnsi"/>
        </w:rPr>
      </w:pPr>
    </w:p>
    <w:p w:rsidR="0098419C" w:rsidRPr="00761C3F" w:rsidRDefault="0098419C" w:rsidP="0098419C">
      <w:pPr>
        <w:tabs>
          <w:tab w:val="left" w:pos="461"/>
        </w:tabs>
      </w:pPr>
      <w:r w:rsidRPr="00761C3F">
        <w:t>Figure 1. study approach and work</w:t>
      </w:r>
      <w:r>
        <w:t>f</w:t>
      </w:r>
      <w:r w:rsidRPr="00761C3F">
        <w:t>low diagram</w:t>
      </w:r>
    </w:p>
    <w:p w:rsidR="0098419C" w:rsidRPr="00761C3F" w:rsidRDefault="0098419C" w:rsidP="0098419C">
      <w:pPr>
        <w:tabs>
          <w:tab w:val="left" w:pos="461"/>
        </w:tabs>
        <w:rPr>
          <w:rFonts w:asciiTheme="minorHAnsi" w:hAnsiTheme="minorHAnsi" w:cstheme="minorHAnsi"/>
        </w:rPr>
      </w:pPr>
      <w:r w:rsidRPr="00602A73">
        <w:rPr>
          <w:rFonts w:asciiTheme="minorHAnsi" w:hAnsiTheme="minorHAnsi" w:cstheme="minorHAnsi"/>
          <w:noProof/>
        </w:rPr>
        <w:drawing>
          <wp:inline distT="0" distB="0" distL="0" distR="0" wp14:anchorId="48455A5A" wp14:editId="27A80457">
            <wp:extent cx="6858000" cy="362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627755"/>
                    </a:xfrm>
                    <a:prstGeom prst="rect">
                      <a:avLst/>
                    </a:prstGeom>
                  </pic:spPr>
                </pic:pic>
              </a:graphicData>
            </a:graphic>
          </wp:inline>
        </w:drawing>
      </w:r>
    </w:p>
    <w:p w:rsidR="0098419C" w:rsidRPr="006F575B" w:rsidRDefault="0098419C" w:rsidP="0098419C">
      <w:r w:rsidRPr="006F575B">
        <w:rPr>
          <w:rFonts w:eastAsia="Arial"/>
          <w:highlight w:val="white"/>
        </w:rPr>
        <w:t>Note</w:t>
      </w:r>
      <w:r>
        <w:rPr>
          <w:rFonts w:eastAsia="Arial"/>
          <w:highlight w:val="white"/>
        </w:rPr>
        <w:t>.</w:t>
      </w:r>
      <w:r w:rsidRPr="006F575B">
        <w:rPr>
          <w:rFonts w:eastAsia="Arial"/>
          <w:highlight w:val="white"/>
        </w:rPr>
        <w:t xml:space="preserve"> Profile of model development and validation workflow. Blue boxes indicate steps of the workflow specific to the </w:t>
      </w:r>
      <w:r>
        <w:rPr>
          <w:rFonts w:eastAsia="Arial"/>
          <w:highlight w:val="white"/>
        </w:rPr>
        <w:t>ARIC data</w:t>
      </w:r>
      <w:r w:rsidRPr="006F575B">
        <w:rPr>
          <w:rFonts w:eastAsia="Arial"/>
          <w:highlight w:val="white"/>
        </w:rPr>
        <w:t>set.</w:t>
      </w:r>
    </w:p>
    <w:p w:rsidR="0098419C" w:rsidRDefault="0098419C" w:rsidP="0098419C"/>
    <w:p w:rsidR="0098419C" w:rsidRDefault="0098419C" w:rsidP="0098419C"/>
    <w:p w:rsidR="0098419C" w:rsidRPr="002C1F2C" w:rsidRDefault="0098419C" w:rsidP="0098419C">
      <w:r>
        <w:t xml:space="preserve">1.1. </w:t>
      </w:r>
      <w:r w:rsidRPr="002C1F2C">
        <w:t xml:space="preserve">Model generation </w:t>
      </w:r>
    </w:p>
    <w:p w:rsidR="0098419C" w:rsidRPr="002C1F2C" w:rsidRDefault="0098419C" w:rsidP="0098419C">
      <w:r w:rsidRPr="002C1F2C">
        <w:rPr>
          <w:rFonts w:eastAsia="Arial"/>
        </w:rPr>
        <w:t xml:space="preserve">The predictive clinical and laboratory biomarkers were identified in InCHIANTI Model 1 </w:t>
      </w:r>
      <w:r w:rsidR="00824B9C">
        <w:rPr>
          <w:rFonts w:eastAsia="Arial"/>
        </w:rPr>
        <w:t>is</w:t>
      </w:r>
      <w:r w:rsidRPr="002C1F2C">
        <w:rPr>
          <w:rFonts w:eastAsia="Arial"/>
        </w:rPr>
        <w:t xml:space="preserve"> analyzed using an </w:t>
      </w:r>
      <w:r w:rsidRPr="002C1F2C">
        <w:t>Extreme Gradient Boosting</w:t>
      </w:r>
      <w:r w:rsidRPr="002C1F2C">
        <w:rPr>
          <w:rFonts w:eastAsia="Arial"/>
        </w:rPr>
        <w:t xml:space="preserve"> (</w:t>
      </w:r>
      <w:proofErr w:type="spellStart"/>
      <w:r w:rsidRPr="002C1F2C">
        <w:rPr>
          <w:rFonts w:eastAsia="Arial"/>
        </w:rPr>
        <w:t>xgboost</w:t>
      </w:r>
      <w:proofErr w:type="spellEnd"/>
      <w:r w:rsidRPr="002C1F2C">
        <w:rPr>
          <w:rFonts w:eastAsia="Arial"/>
        </w:rPr>
        <w:t>) in R</w:t>
      </w:r>
      <w:r w:rsidRPr="002C1F2C">
        <w:rPr>
          <w:rFonts w:eastAsia="Arial"/>
        </w:rPr>
        <w:fldChar w:fldCharType="begin" w:fldLock="1"/>
      </w:r>
      <w:r w:rsidR="000E13F8">
        <w:rPr>
          <w:rFonts w:eastAsia="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mendeley":{"formattedCitation":"&lt;sup&gt;1&lt;/sup&gt;","plainTextFormattedCitation":"1","previouslyFormattedCitation":"&lt;sup&gt;12&lt;/sup&gt;"},"properties":{"noteIndex":0},"schema":"https://github.com/citation-style-language/schema/raw/master/csl-citation.json"}</w:instrText>
      </w:r>
      <w:r w:rsidRPr="002C1F2C">
        <w:rPr>
          <w:rFonts w:eastAsia="Arial"/>
        </w:rPr>
        <w:fldChar w:fldCharType="separate"/>
      </w:r>
      <w:r w:rsidR="000E13F8" w:rsidRPr="000E13F8">
        <w:rPr>
          <w:rFonts w:eastAsia="Arial"/>
          <w:noProof/>
          <w:vertAlign w:val="superscript"/>
        </w:rPr>
        <w:t>1</w:t>
      </w:r>
      <w:r w:rsidRPr="002C1F2C">
        <w:rPr>
          <w:rFonts w:eastAsia="Arial"/>
        </w:rPr>
        <w:fldChar w:fldCharType="end"/>
      </w:r>
      <w:r w:rsidRPr="002C1F2C">
        <w:rPr>
          <w:rFonts w:eastAsia="Arial"/>
        </w:rPr>
        <w:t xml:space="preserve"> for the validation model in ARIC. While boosting was initially developed for machine learning, ‘</w:t>
      </w:r>
      <w:proofErr w:type="spellStart"/>
      <w:r w:rsidRPr="002C1F2C">
        <w:rPr>
          <w:rFonts w:eastAsia="Arial"/>
        </w:rPr>
        <w:t>xgboost</w:t>
      </w:r>
      <w:proofErr w:type="spellEnd"/>
      <w:r w:rsidRPr="002C1F2C">
        <w:rPr>
          <w:rFonts w:eastAsia="Arial"/>
        </w:rPr>
        <w:t xml:space="preserve">’ in R is based in boosted trees. </w:t>
      </w:r>
      <w:proofErr w:type="spellStart"/>
      <w:r w:rsidRPr="002C1F2C">
        <w:rPr>
          <w:rFonts w:eastAsia="Arial"/>
        </w:rPr>
        <w:t>Xgboost</w:t>
      </w:r>
      <w:proofErr w:type="spellEnd"/>
      <w:r w:rsidRPr="002C1F2C">
        <w:rPr>
          <w:rFonts w:eastAsia="Arial"/>
        </w:rPr>
        <w:t xml:space="preserve"> is an open source tool and a variant of the gradient boosting machine and uses a </w:t>
      </w:r>
      <w:proofErr w:type="gramStart"/>
      <w:r w:rsidRPr="002C1F2C">
        <w:rPr>
          <w:rFonts w:eastAsia="Arial"/>
        </w:rPr>
        <w:t>tree based</w:t>
      </w:r>
      <w:proofErr w:type="gramEnd"/>
      <w:r w:rsidRPr="002C1F2C">
        <w:rPr>
          <w:rFonts w:eastAsia="Arial"/>
        </w:rPr>
        <w:t xml:space="preserve"> model. </w:t>
      </w:r>
      <w:proofErr w:type="spellStart"/>
      <w:r w:rsidRPr="002C1F2C">
        <w:rPr>
          <w:rFonts w:eastAsia="Arial"/>
        </w:rPr>
        <w:t>Xgboost</w:t>
      </w:r>
      <w:proofErr w:type="spellEnd"/>
      <w:r w:rsidRPr="002C1F2C">
        <w:rPr>
          <w:rFonts w:eastAsia="Arial"/>
        </w:rPr>
        <w:t xml:space="preserve"> is used in this study for a supervised learning problem where the variables identified from </w:t>
      </w:r>
      <w:r w:rsidR="00EF2EB8">
        <w:rPr>
          <w:rFonts w:eastAsia="Arial"/>
        </w:rPr>
        <w:t>a</w:t>
      </w:r>
      <w:r w:rsidRPr="002C1F2C">
        <w:rPr>
          <w:rFonts w:eastAsia="Arial"/>
        </w:rPr>
        <w:t xml:space="preserve"> </w:t>
      </w:r>
      <w:r w:rsidR="00EF2EB8">
        <w:rPr>
          <w:rFonts w:eastAsia="Arial"/>
        </w:rPr>
        <w:t xml:space="preserve">previous study </w:t>
      </w:r>
      <w:r w:rsidRPr="002C1F2C">
        <w:rPr>
          <w:rFonts w:eastAsia="Arial"/>
        </w:rPr>
        <w:t>are used to predict</w:t>
      </w:r>
      <w:r w:rsidRPr="002C1F2C">
        <w:t xml:space="preserve"> pre-frail and frail individuals.</w:t>
      </w:r>
      <w:r w:rsidR="000E13F8">
        <w:fldChar w:fldCharType="begin" w:fldLock="1"/>
      </w:r>
      <w:r w:rsidR="000E13F8">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Reviews","id":"ITEM-1","issued":{"date-parts":[["2018","11","1"]]},"page":"149-158","publisher":"Elsevier","title":"Shared biological pathways for frailty and cognitive impairment: A systematic review","type":"article-journal","volume":"47"},"uris":["http://www.mendeley.com/documents/?uuid=db89db83-5c66-330e-8453-0011398ee55e"]}],"mendeley":{"formattedCitation":"&lt;sup&gt;2&lt;/sup&gt;","plainTextFormattedCitation":"2"},"properties":{"noteIndex":0},"schema":"https://github.com/citation-style-language/schema/raw/master/csl-citation.json"}</w:instrText>
      </w:r>
      <w:r w:rsidR="000E13F8">
        <w:fldChar w:fldCharType="separate"/>
      </w:r>
      <w:r w:rsidR="000E13F8" w:rsidRPr="000E13F8">
        <w:rPr>
          <w:noProof/>
          <w:vertAlign w:val="superscript"/>
        </w:rPr>
        <w:t>2</w:t>
      </w:r>
      <w:r w:rsidR="000E13F8">
        <w:fldChar w:fldCharType="end"/>
      </w:r>
      <w:r w:rsidRPr="002C1F2C">
        <w:t xml:space="preserve"> </w:t>
      </w:r>
    </w:p>
    <w:p w:rsidR="00A156F6" w:rsidRDefault="00A156F6" w:rsidP="0098419C"/>
    <w:p w:rsidR="000E13F8" w:rsidRDefault="000E13F8" w:rsidP="0098419C"/>
    <w:p w:rsidR="000E13F8" w:rsidRDefault="000E13F8" w:rsidP="0098419C"/>
    <w:p w:rsidR="000E13F8" w:rsidRDefault="000E13F8" w:rsidP="0098419C"/>
    <w:p w:rsidR="000E13F8" w:rsidRPr="002C1F2C" w:rsidRDefault="000E13F8" w:rsidP="0098419C"/>
    <w:p w:rsidR="0098419C" w:rsidRPr="002C1F2C" w:rsidRDefault="0098419C" w:rsidP="0098419C">
      <w:pPr>
        <w:rPr>
          <w:rFonts w:eastAsia="Arial"/>
          <w:highlight w:val="white"/>
        </w:rPr>
      </w:pPr>
      <w:r>
        <w:rPr>
          <w:rFonts w:eastAsia="Arial"/>
          <w:highlight w:val="white"/>
        </w:rPr>
        <w:lastRenderedPageBreak/>
        <w:t xml:space="preserve">1.2. </w:t>
      </w:r>
      <w:r w:rsidRPr="002C1F2C">
        <w:rPr>
          <w:rFonts w:eastAsia="Arial"/>
          <w:highlight w:val="white"/>
        </w:rPr>
        <w:t>Evaluation of the model</w:t>
      </w:r>
    </w:p>
    <w:p w:rsidR="0098419C" w:rsidRPr="002C1F2C" w:rsidRDefault="0098419C" w:rsidP="0098419C">
      <w:pPr>
        <w:rPr>
          <w:rFonts w:eastAsia="Arial"/>
        </w:rPr>
      </w:pPr>
      <w:r w:rsidRPr="002C1F2C">
        <w:rPr>
          <w:rFonts w:eastAsia="Arial"/>
          <w:highlight w:val="white"/>
        </w:rPr>
        <w:t xml:space="preserve">With the use of any predictive model in machine learning there is a chance for inflated risk of capitalizing on chance features (overfitting) </w:t>
      </w:r>
      <w:r>
        <w:rPr>
          <w:rFonts w:eastAsia="Arial"/>
          <w:highlight w:val="white"/>
        </w:rPr>
        <w:t>in the data. Overfitting of the</w:t>
      </w:r>
      <w:r w:rsidRPr="002C1F2C">
        <w:rPr>
          <w:rFonts w:eastAsia="Arial"/>
          <w:highlight w:val="white"/>
        </w:rPr>
        <w:t xml:space="preserve"> model </w:t>
      </w:r>
      <w:r w:rsidR="00824B9C">
        <w:rPr>
          <w:rFonts w:eastAsia="Arial"/>
          <w:highlight w:val="white"/>
        </w:rPr>
        <w:t>is</w:t>
      </w:r>
      <w:r w:rsidRPr="002C1F2C">
        <w:rPr>
          <w:rFonts w:eastAsia="Arial"/>
          <w:highlight w:val="white"/>
        </w:rPr>
        <w:t xml:space="preserve"> mitigated in two ways: 1) having a distinct training and validation process for the model and 2) using </w:t>
      </w:r>
      <w:proofErr w:type="spellStart"/>
      <w:r w:rsidRPr="002C1F2C">
        <w:rPr>
          <w:rFonts w:eastAsia="Arial"/>
          <w:highlight w:val="white"/>
        </w:rPr>
        <w:t>xgb</w:t>
      </w:r>
      <w:proofErr w:type="spellEnd"/>
      <w:r w:rsidRPr="002C1F2C">
        <w:rPr>
          <w:rFonts w:eastAsia="Arial"/>
          <w:highlight w:val="white"/>
        </w:rPr>
        <w:t xml:space="preserve"> in R which has built-in parameter settings for selection to reduce poor predictive performance. </w:t>
      </w:r>
      <w:r w:rsidRPr="002C1F2C">
        <w:rPr>
          <w:rFonts w:eastAsia="Arial"/>
          <w:i/>
          <w:highlight w:val="white"/>
        </w:rPr>
        <w:t>Internal validation:</w:t>
      </w:r>
      <w:r w:rsidRPr="002C1F2C">
        <w:rPr>
          <w:rFonts w:eastAsia="Arial"/>
          <w:highlight w:val="white"/>
        </w:rPr>
        <w:t xml:space="preserve"> A randomly assigned training subset </w:t>
      </w:r>
      <w:r w:rsidR="000E13F8">
        <w:rPr>
          <w:rFonts w:eastAsia="Arial"/>
          <w:highlight w:val="white"/>
        </w:rPr>
        <w:t>is</w:t>
      </w:r>
      <w:r>
        <w:rPr>
          <w:rFonts w:eastAsia="Arial"/>
          <w:highlight w:val="white"/>
        </w:rPr>
        <w:t xml:space="preserve"> be</w:t>
      </w:r>
      <w:r w:rsidRPr="002C1F2C">
        <w:rPr>
          <w:rFonts w:eastAsia="Arial"/>
          <w:highlight w:val="white"/>
        </w:rPr>
        <w:t xml:space="preserve"> used to validate the model within the ARIC cohort </w:t>
      </w:r>
      <w:r w:rsidRPr="002C1F2C">
        <w:rPr>
          <w:rFonts w:eastAsia="Arial"/>
          <w:i/>
          <w:highlight w:val="white"/>
        </w:rPr>
        <w:t xml:space="preserve">in silico </w:t>
      </w:r>
      <w:r w:rsidRPr="002C1F2C">
        <w:rPr>
          <w:rFonts w:eastAsia="Arial"/>
          <w:highlight w:val="white"/>
        </w:rPr>
        <w:t xml:space="preserve">(via simulation). </w:t>
      </w:r>
    </w:p>
    <w:p w:rsidR="0098419C" w:rsidRPr="002C1F2C" w:rsidRDefault="0098419C" w:rsidP="0098419C">
      <w:pPr>
        <w:rPr>
          <w:rFonts w:eastAsia="Arial"/>
        </w:rPr>
      </w:pPr>
    </w:p>
    <w:p w:rsidR="0098419C" w:rsidRPr="002C1F2C" w:rsidRDefault="0098419C" w:rsidP="0098419C">
      <w:pPr>
        <w:rPr>
          <w:rFonts w:eastAsia="Arial"/>
          <w:highlight w:val="white"/>
        </w:rPr>
      </w:pPr>
      <w:r>
        <w:rPr>
          <w:rFonts w:eastAsia="Arial"/>
          <w:highlight w:val="white"/>
        </w:rPr>
        <w:t xml:space="preserve">1.3. </w:t>
      </w:r>
      <w:r w:rsidRPr="002C1F2C">
        <w:rPr>
          <w:rFonts w:eastAsia="Arial"/>
          <w:highlight w:val="white"/>
        </w:rPr>
        <w:t xml:space="preserve">Calibration of the model </w:t>
      </w:r>
    </w:p>
    <w:p w:rsidR="0098419C" w:rsidRPr="002C1F2C" w:rsidRDefault="0098419C" w:rsidP="0098419C">
      <w:pPr>
        <w:rPr>
          <w:rFonts w:eastAsia="Arial"/>
        </w:rPr>
      </w:pPr>
      <w:r w:rsidRPr="002C1F2C">
        <w:rPr>
          <w:rFonts w:eastAsia="Arial"/>
          <w:highlight w:val="white"/>
        </w:rPr>
        <w:t xml:space="preserve">Parameter estimates for each predictive factor and associated descriptive statistics </w:t>
      </w:r>
      <w:r>
        <w:rPr>
          <w:rFonts w:eastAsia="Arial"/>
          <w:highlight w:val="white"/>
        </w:rPr>
        <w:t>will be</w:t>
      </w:r>
      <w:r w:rsidRPr="002C1F2C">
        <w:rPr>
          <w:rFonts w:eastAsia="Arial"/>
          <w:highlight w:val="white"/>
        </w:rPr>
        <w:t xml:space="preserve"> evaluated to provide biological insight into the underpinnings of the classification algorithm.</w:t>
      </w:r>
      <w:r w:rsidRPr="002C1F2C">
        <w:rPr>
          <w:rFonts w:eastAsia="Arial"/>
        </w:rPr>
        <w:t xml:space="preserve"> We </w:t>
      </w:r>
      <w:r>
        <w:rPr>
          <w:rFonts w:eastAsia="Arial"/>
        </w:rPr>
        <w:t>evaluate</w:t>
      </w:r>
      <w:r w:rsidR="00CA55DB">
        <w:rPr>
          <w:rFonts w:eastAsia="Arial"/>
        </w:rPr>
        <w:t>d</w:t>
      </w:r>
      <w:r w:rsidRPr="002C1F2C">
        <w:rPr>
          <w:rFonts w:eastAsia="Arial"/>
        </w:rPr>
        <w:t xml:space="preserve"> the calibration by partitioning the data into 5, 10, 20, 30, 40, 50, 75, 100 and 200 groups and then run the calibrati</w:t>
      </w:r>
      <w:r>
        <w:rPr>
          <w:rFonts w:eastAsia="Arial"/>
        </w:rPr>
        <w:t>on test. Next, we repeat</w:t>
      </w:r>
      <w:r w:rsidR="00CA55DB">
        <w:rPr>
          <w:rFonts w:eastAsia="Arial"/>
        </w:rPr>
        <w:t>ed</w:t>
      </w:r>
      <w:r>
        <w:rPr>
          <w:rFonts w:eastAsia="Arial"/>
        </w:rPr>
        <w:t xml:space="preserve"> </w:t>
      </w:r>
      <w:r w:rsidRPr="002C1F2C">
        <w:rPr>
          <w:rFonts w:eastAsia="Arial"/>
        </w:rPr>
        <w:t xml:space="preserve">tests for all possible values between 5-200 groups and evaluated the distribution of the test statistic. The best prediction thresholds </w:t>
      </w:r>
      <w:r w:rsidR="000472F3">
        <w:rPr>
          <w:rFonts w:eastAsia="Arial"/>
        </w:rPr>
        <w:t>were</w:t>
      </w:r>
      <w:r w:rsidRPr="002C1F2C">
        <w:rPr>
          <w:rFonts w:eastAsia="Arial"/>
        </w:rPr>
        <w:t xml:space="preserve"> determined using AUC. </w:t>
      </w:r>
    </w:p>
    <w:p w:rsidR="0098419C" w:rsidRPr="002C1F2C" w:rsidRDefault="0098419C" w:rsidP="0098419C">
      <w:pPr>
        <w:rPr>
          <w:rFonts w:eastAsia="Arial"/>
        </w:rPr>
      </w:pPr>
    </w:p>
    <w:p w:rsidR="0098419C" w:rsidRPr="002C1F2C" w:rsidRDefault="0098419C" w:rsidP="0098419C">
      <w:pPr>
        <w:rPr>
          <w:rFonts w:eastAsia="Arial"/>
        </w:rPr>
      </w:pPr>
      <w:r>
        <w:rPr>
          <w:rFonts w:eastAsia="Arial"/>
        </w:rPr>
        <w:t xml:space="preserve">1.4. </w:t>
      </w:r>
      <w:r w:rsidRPr="002C1F2C">
        <w:rPr>
          <w:rFonts w:eastAsia="Arial"/>
        </w:rPr>
        <w:t>Phenotype</w:t>
      </w:r>
    </w:p>
    <w:p w:rsidR="0098419C" w:rsidRPr="002C1F2C" w:rsidRDefault="0098419C" w:rsidP="0098419C">
      <w:pPr>
        <w:rPr>
          <w:rFonts w:eastAsia="Arial"/>
        </w:rPr>
      </w:pPr>
      <w:r w:rsidRPr="002C1F2C">
        <w:t>The frailty phenotype defined in three categories—non-frail (0), pre-frail(1-2), and frail (3-5).</w:t>
      </w:r>
      <w:r w:rsidRPr="002C1F2C">
        <w:fldChar w:fldCharType="begin" w:fldLock="1"/>
      </w:r>
      <w:r w:rsidR="000E13F8">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phenotype.","type":"article-journal","volume":"56"},"uris":["http://www.mendeley.com/documents/?uuid=8a824c1b-015b-4dc5-b59f-9d4bd6290798"]},{"id":"ITEM-2","itemData":{"DOI":"10.1093/gerona/glw144","ISSN":"1079-5006","PMID":"27470301","abstract":"Background Factors that may contribute to the development of frailty in late life have not been widely investigated. The Atherosclerosis Risk in Communities (ARIC) Study cohort presents an opportunity to examine relationships of midlife risk factors with frailty in late life. However, we first present findings on the validation of an established frailty phenotype in this predominantly biracial population of older adults. Methods Among 6,080 participants, we defined frailty based upon the Cardiovascular Health Study (CHS) criteria incorporating measures of weight loss, exhaustion, slow walking speed, low physical activity, and low grip strength. Criterion and predictive validity of the frailty phenotype were estimated from associations between frailty status and participants' physical and mental health status, physiologic markers, and incident clinical outcomes. Results A total of 393 (6.5%) participants were classified as frail and 50.4% pre-frail, similar to CHS (6.9% frail, 46.6% pre-frail). In age-adjusted analyses, frailty was concurrently associated with depressive symptoms, low self-rated health, low medication adherence, and clinical biomarker levels (ie, cholesterol, hemoglobin A1c, white blood cell count, C-reactive protein, and hemoglobin). During 1-year follow-up, frailty was associated with falls, low physical ability, fatigue, and mortality. Conclusions These findings support the validity of the CHS frailty phenotype in the ARIC Study cohort. Future studies in ARIC may elucidate early-life exposures that contribute to late-life frailty.","author":[{"dropping-particle":"","family":"Kucharska-Newton","given":"Anna M.","non-dropping-particle":"","parse-names":false,"suffix":""},{"dropping-particle":"","family":"Palta","given":"Priya","non-dropping-particle":"","parse-names":false,"suffix":""},{"dropping-particle":"","family":"Burgard","given":"Sheila","non-dropping-particle":"","parse-names":false,"suffix":""},{"dropping-particle":"","family":"Griswold","given":"Michael E.","non-dropping-particle":"","parse-names":false,"suffix":""},{"dropping-particle":"","family":"Lund","given":"Jennifer L.","non-dropping-particle":"","parse-names":false,"suffix":""},{"dropping-particle":"","family":"Capistrant","given":"Benjamin D.","non-dropping-particle":"","parse-names":false,"suffix":""},{"dropping-particle":"","family":"Kritchevsky","given":"Stephen B.","non-dropping-particle":"","parse-names":false,"suffix":""},{"dropping-particle":"","family":"Bandeen-Roche","given":"Karen","non-dropping-particle":"","parse-names":false,"suffix":""},{"dropping-particle":"","family":"Windham","given":"B. Gwen","non-dropping-particle":"","parse-names":false,"suffix":""}],"container-title":"The Journals of Gerontology Series A: Biological Sciences and Medical Sciences","id":"ITEM-2","issue":"3","issued":{"date-parts":[["2016","7","28"]]},"page":"glw144","title":"Operationalizing Frailty in the Atherosclerosis Risk in Communities Study Cohort","type":"article-journal","volume":"72"},"uris":["http://www.mendeley.com/documents/?uuid=cb86146f-cc87-3ad5-b305-cbc84f107d1b"]}],"mendeley":{"formattedCitation":"&lt;sup&gt;3,4&lt;/sup&gt;","plainTextFormattedCitation":"3,4","previouslyFormattedCitation":"&lt;sup&gt;3,13&lt;/sup&gt;"},"properties":{"noteIndex":0},"schema":"https://github.com/citation-style-language/schema/raw/master/csl-citation.json"}</w:instrText>
      </w:r>
      <w:r w:rsidRPr="002C1F2C">
        <w:fldChar w:fldCharType="separate"/>
      </w:r>
      <w:r w:rsidR="000E13F8" w:rsidRPr="000E13F8">
        <w:rPr>
          <w:noProof/>
          <w:vertAlign w:val="superscript"/>
        </w:rPr>
        <w:t>3,4</w:t>
      </w:r>
      <w:r w:rsidRPr="002C1F2C">
        <w:fldChar w:fldCharType="end"/>
      </w:r>
      <w:r>
        <w:t xml:space="preserve"> Outcome measure of frailty </w:t>
      </w:r>
      <w:r w:rsidR="00763E7C">
        <w:t>is</w:t>
      </w:r>
      <w:r>
        <w:t xml:space="preserve"> used from V5 in the ARIC dataset. </w:t>
      </w:r>
    </w:p>
    <w:p w:rsidR="0098419C" w:rsidRDefault="0098419C" w:rsidP="0098419C">
      <w:pPr>
        <w:rPr>
          <w:i/>
        </w:rPr>
      </w:pPr>
    </w:p>
    <w:p w:rsidR="0098419C" w:rsidRPr="00AD730B" w:rsidRDefault="0098419C" w:rsidP="0098419C">
      <w:r>
        <w:t xml:space="preserve">1.5. </w:t>
      </w:r>
      <w:r w:rsidRPr="00AD730B">
        <w:t xml:space="preserve">Predictors </w:t>
      </w:r>
    </w:p>
    <w:p w:rsidR="0098419C" w:rsidRPr="002C1F2C" w:rsidRDefault="0098419C" w:rsidP="0098419C">
      <w:r>
        <w:t xml:space="preserve">     1.5.1. </w:t>
      </w:r>
      <w:r w:rsidRPr="002C1F2C">
        <w:t xml:space="preserve">Anticholinergic Burden Calculation </w:t>
      </w:r>
    </w:p>
    <w:p w:rsidR="0098419C" w:rsidRPr="002C1F2C" w:rsidRDefault="0098419C" w:rsidP="0098419C">
      <w:r w:rsidRPr="002C1F2C">
        <w:t xml:space="preserve">The Anticholinergic Cognitive Burden (ACB) scale is the most </w:t>
      </w:r>
      <w:r w:rsidR="00CA55DB">
        <w:t xml:space="preserve">clinically </w:t>
      </w:r>
      <w:r w:rsidRPr="002C1F2C">
        <w:t>validated scale for evaluating adverse health outcomes including cognitive and physical function</w:t>
      </w:r>
      <w:r w:rsidRPr="002C1F2C">
        <w:fldChar w:fldCharType="begin" w:fldLock="1"/>
      </w:r>
      <w:r w:rsidR="000E13F8">
        <w:instrText>ADDIN CSL_CITATION {"citationItems":[{"id":"ITEM-1","itemData":{"DOI":"10.1186/s12877-015-0029-9","abstract":"Background: The cumulative effect of taking multiple medicines with anticholinergic properties termed as anticholinergic burden can adversely impact cognition, physical function and increase the risk of mortality. Expert opinion derived risk scales are routinely used in research and clinical practice to quantify anticholinergic burden. These scales rank the anticholinergic activity of medicines into four categories, ranging from no anticholinergic activity (= 0) to definite/high anticholinergic activity (= 3). The aim of this systematic review was to compare anticholinergic burden quantified by the anticholinergic risk scales and evaluate associations with adverse outcomes in older people. Methods: We conducted a literature search in Ovid MEDLINE, EMBASE and PsycINFO from 1984-2014 to identify expert opinion derived anticholinergic risk scales. In addition to this, a citation analysis was performed in Web of Science and Google Scholar to track prospective citing of references of selected articles for assessment of individual scales for adverse anticholinergic outcomes. The primary outcomes of interest were functional and cognitive outcomes associated with anticholinergic burden in older people. The critical appraisals of the included studies were performed by two independent reviewers and the data were extracted onto standardised forms. Results: The primary electronic literature search identified a total of 1250 records in the 3 different databases. On the basis of full-text analysis, we identified 7 expert-based anticholinergic rating scales that met the inclusion criteria. The rating of anticholinergic activity for medicines among these rating scales was inconsistent. For example, quetiapine was rated as having high anticholinergic activity in one scale (n = 1), moderate in another scale (n = 1) and low in two other scales (n = 2). Citation analysis of the individual scales showed that the Anticholinergic Cognitive Burden (ACB) scale was the most frequently validated expert based anticholinergic scale for adverse outcomes (N = 13). Conclusions: In conclusion, there is not one standardised tool for measuring anticholinergic burden. Cohort studies have shown that higher anticholinergic burden is associated with negative brain effects, poorer cognitive and functional outcomes.","author":[{"dropping-particle":"","family":"Salahudeen","given":"Mohammed Saji","non-dropping-particle":"","parse-names":false,"suffix":""},{"dropping-particle":"","family":"Duffull","given":"Stephen B","non-dropping-particle":"","parse-names":false,"suffix":""},{"dropping-particle":"","family":"Nishtala","given":"Prasad S","non-dropping-particle":"","parse-names":false,"suffix":""}],"id":"ITEM-1","issued":{"date-parts":[["2015"]]},"title":"Anticholinergic burden quantified by anticholinergic risk scales and adverse outcomes in older people: a systematic review","type":"article-journal"},"uris":["http://www.mendeley.com/documents/?uuid=82941a63-2976-3912-bbfe-c1ceeba23a93"]},{"id":"ITEM-2","itemData":{"ISBN":"0002-8614","ISSN":"0002-8614","abstract":"Study Purpose: Anticholinergic properties of certain medications often go unrecognized and are frequently used by the elderly. Our objective was to compare the incidence of cognitive impairment (CI) between those who did and did not use anticholinergics. Description of Methods:We report a six-year longitudinal, observational study, evaluating 1,652 community-dwelling, African- Americans over the age of 70 years with normal cognitive function at baseline. The exposure group included those who reported the baseline use of possible or definite anticholinergics as determined by the Anticholinergic Cognitive Burden scale1. Our main outcome measure was the incidence of CI, defined as either dementia or mild cognitive impairment, or poor performance on a dementia screening instrument during the follow-up period. Results: At baseline, 53{%} of the population used a possible anticholinergic, and 11{%} used a definite anticholinergic. After adjusting for age, gender, educational level and baseline cognitive performance, the use of definite anticholinergics was associated with an increased risk of CI (OR 1.46, 95{%} CI, 1.07-1.99; p=0.02), whereas the use of possible anticholinergics at baseline did not increase the risk (OR 0.96, 95{%} CI, 0.85-1.09; p=0.55). The risk of CI among definite anticholinergic users was increased if they were not carriers of the ApoE 4 allele (OR 1.77 (95{%} CI, 1.03-3.05); p=0.04). Conclusions:The use of definite anticholinergics should be considered a modifiable risk factor for the development of CI. Limiting the clinical use of definite anticholinergics may reduce the incidence of mild cognitive impairment or dementia among African Americans.","author":[{"dropping-particle":"","family":"Campbell","given":"N L","non-dropping-particle":"","parse-names":false,"suffix":""},{"dropping-particle":"","family":"Boustani","given":"Malaz","non-dropping-particle":"","parse-names":false,"suffix":""},{"dropping-particle":"","family":"Lane","given":"K","non-dropping-particle":"","parse-names":false,"suffix":""},{"dropping-particle":"","family":"Gao","given":"S","non-dropping-particle":"","parse-names":false,"suffix":""},{"dropping-particle":"","family":"Hendrie","given":"H","non-dropping-particle":"","parse-names":false,"suffix":""},{"dropping-particle":"","family":"Murrell","given":"J","non-dropping-particle":"","parse-names":false,"suffix":""},{"dropping-particle":"","family":"Unverzagt","given":"F","non-dropping-particle":"","parse-names":false,"suffix":""},{"dropping-particle":"","family":"Hake","given":"A","non-dropping-particle":"","parse-names":false,"suffix":""},{"dropping-particle":"","family":"Smith-Gamble","given":"V","non-dropping-particle":"","parse-names":false,"suffix":""},{"dropping-particle":"","family":"Hall","given":"K","non-dropping-particle":"","parse-names":false,"suffix":""}],"container-title":"Neurology","id":"ITEM-2","issued":{"date-parts":[["2010"]]},"page":"152-159","title":"Use of anticholinergics and the risk of cognitive impairment in an African-American population","type":"article-journal","volume":"75"},"uris":["http://www.mendeley.com/documents/?uuid=6f2fdce0-4a93-435b-ab2f-9b5d8c172d71"]}],"mendeley":{"formattedCitation":"&lt;sup&gt;5,6&lt;/sup&gt;","plainTextFormattedCitation":"5,6","previouslyFormattedCitation":"&lt;sup&gt;14,15&lt;/sup&gt;"},"properties":{"noteIndex":0},"schema":"https://github.com/citation-style-language/schema/raw/master/csl-citation.json"}</w:instrText>
      </w:r>
      <w:r w:rsidRPr="002C1F2C">
        <w:fldChar w:fldCharType="separate"/>
      </w:r>
      <w:r w:rsidR="000E13F8" w:rsidRPr="000E13F8">
        <w:rPr>
          <w:noProof/>
          <w:vertAlign w:val="superscript"/>
        </w:rPr>
        <w:t>5,6</w:t>
      </w:r>
      <w:r w:rsidRPr="002C1F2C">
        <w:fldChar w:fldCharType="end"/>
      </w:r>
      <w:r w:rsidRPr="002C1F2C">
        <w:t xml:space="preserve">. The anticholinergic properties of each medication </w:t>
      </w:r>
      <w:r>
        <w:t>will be</w:t>
      </w:r>
      <w:r w:rsidRPr="002C1F2C">
        <w:t xml:space="preserve"> quantified using the ACB scale based on each drug’s serum anticholinergic activity</w:t>
      </w:r>
      <w:r w:rsidRPr="002C1F2C">
        <w:fldChar w:fldCharType="begin" w:fldLock="1"/>
      </w:r>
      <w:r w:rsidR="000E13F8">
        <w:instrText>ADDIN CSL_CITATION {"citationItems":[{"id":"ITEM-1","itemData":{"DOI":"10.1016/j.jalz.2012.02.005","ISBN":"1552-5260(Print)","ISSN":"15525260","PMID":"23183138","abstract":"Background: Older Americans are facing an epidemic of chronic diseases and are thus exposed to anticholinergics (ACs) that might negatively affect their risk of developing mild cognitive impairment (MCI) or dementia. Objective: To investigate the association between impairment in cognitive function and previous AC exposure. Design: A retrospective cohort study. Setting: Primary care clinics in Indianapolis, Indiana. Participants: A total of 3690 older adults who have undergone cognitive assessment and had a 1-year medication-dispensing record. Outcome: Cognitive function was measured in two sequential steps: a two-step screening process followed by a formal diagnostic process for participants with positive screening results. Exposure: Three patterns of AC exposure were defined by the duration of AC exposure, the number of AC medications dispensed at the same time, and the severity of AC effects as determined by the Anticholinergic Cognitive Burden list. Results: Compared with older adults with no AC exposure and after adjusting for age, race, gender, and underlying comorbidity, the odds ratio for having a diagnosis of MCI was 2.73 (95% confidence interval, 1.27-5.87) among older adults who were exposed to at least three possible ACs for at least 90 days; the odds ratio for having dementia was 0.43 (95% confidence interval, 0.10-1.81). Conclusion: Exposure to medications with severe AC cognitive burden may be a risk factor for developing MCI. ?? 2013 The Alzheimer's Association. All rights reserved.","author":[{"dropping-particle":"","family":"Cai","given":"Xueya","non-dropping-particle":"","parse-names":false,"suffix":""},{"dropping-particle":"","family":"Campbell","given":"Noll","non-dropping-particle":"","parse-names":false,"suffix":""},{"dropping-particle":"","family":"Khan","given":"Babar","non-dropping-particle":"","parse-names":false,"suffix":""},{"dropping-particle":"","family":"Callahan","given":"Christopher","non-dropping-particle":"","parse-names":false,"suffix":""},{"dropping-particle":"","family":"Boustani","given":"Malaz","non-dropping-particle":"","parse-names":false,"suffix":""}],"container-title":"Alzheimer's and Dementia","id":"ITEM-1","issue":"4","issued":{"date-parts":[["2013"]]},"page":"377-385","title":"Long-term anticholinergic use and the aging brain","type":"article-journal","volume":"9"},"uris":["http://www.mendeley.com/documents/?uuid=6ca9cc7e-352e-4411-a7cb-12d83e992564"]}],"mendeley":{"formattedCitation":"&lt;sup&gt;7&lt;/sup&gt;","plainTextFormattedCitation":"7","previouslyFormattedCitation":"&lt;sup&gt;16&lt;/sup&gt;"},"properties":{"noteIndex":0},"schema":"https://github.com/citation-style-language/schema/raw/master/csl-citation.json"}</w:instrText>
      </w:r>
      <w:r w:rsidRPr="002C1F2C">
        <w:fldChar w:fldCharType="separate"/>
      </w:r>
      <w:r w:rsidR="000E13F8" w:rsidRPr="000E13F8">
        <w:rPr>
          <w:noProof/>
          <w:vertAlign w:val="superscript"/>
        </w:rPr>
        <w:t>7</w:t>
      </w:r>
      <w:r w:rsidRPr="002C1F2C">
        <w:fldChar w:fldCharType="end"/>
      </w:r>
      <w:r w:rsidRPr="002C1F2C">
        <w:t>. ACB scores</w:t>
      </w:r>
      <w:r w:rsidR="00CA55DB">
        <w:t xml:space="preserve"> for</w:t>
      </w:r>
      <w:r w:rsidRPr="002C1F2C">
        <w:t xml:space="preserve"> each participants’ medications </w:t>
      </w:r>
      <w:r>
        <w:t>will be</w:t>
      </w:r>
      <w:r w:rsidRPr="002C1F2C">
        <w:t xml:space="preserve"> assigned points (0, 1, 2, 3) according to the published 2012 update and summed for a total anticholinergic burden score.  Higher scores indicate higher anticholinergic properties. An example of medications with ACB scores include: Amitriptyline = 3, Amantadine = 2, and Atenolol = 1.</w:t>
      </w:r>
    </w:p>
    <w:p w:rsidR="0098419C" w:rsidRPr="002C1F2C" w:rsidRDefault="0098419C" w:rsidP="0098419C"/>
    <w:p w:rsidR="0098419C" w:rsidRPr="002C1F2C" w:rsidRDefault="0098419C" w:rsidP="0098419C">
      <w:r>
        <w:t xml:space="preserve">     1.5.2. </w:t>
      </w:r>
      <w:r w:rsidRPr="002C1F2C">
        <w:t>Depression Score</w:t>
      </w:r>
    </w:p>
    <w:p w:rsidR="0098419C" w:rsidRPr="002C1F2C" w:rsidRDefault="0098419C" w:rsidP="0098419C">
      <w:r w:rsidRPr="002C1F2C">
        <w:t>The CES-D self-report scale (0-60) is used to measure depressive symptoms. Reliability, validity, and factor structure have been similar across a diverse demographic and the scale has been used extensively in epidemiologic studies for depression and physical function.</w:t>
      </w:r>
      <w:r w:rsidRPr="002C1F2C">
        <w:rPr>
          <w:rStyle w:val="FootnoteReference"/>
        </w:rPr>
        <w:fldChar w:fldCharType="begin" w:fldLock="1"/>
      </w:r>
      <w:r w:rsidR="000E13F8">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mendeley":{"formattedCitation":"&lt;sup&gt;8&lt;/sup&gt;","plainTextFormattedCitation":"8","previouslyFormattedCitation":"&lt;sup&gt;17&lt;/sup&gt;"},"properties":{"noteIndex":0},"schema":"https://github.com/citation-style-language/schema/raw/master/csl-citation.json"}</w:instrText>
      </w:r>
      <w:r w:rsidRPr="002C1F2C">
        <w:rPr>
          <w:rStyle w:val="FootnoteReference"/>
        </w:rPr>
        <w:fldChar w:fldCharType="separate"/>
      </w:r>
      <w:r w:rsidR="000E13F8" w:rsidRPr="000E13F8">
        <w:rPr>
          <w:noProof/>
          <w:vertAlign w:val="superscript"/>
        </w:rPr>
        <w:t>8</w:t>
      </w:r>
      <w:r w:rsidRPr="002C1F2C">
        <w:rPr>
          <w:rStyle w:val="FootnoteReference"/>
        </w:rPr>
        <w:fldChar w:fldCharType="end"/>
      </w:r>
      <w:r w:rsidRPr="002C1F2C">
        <w:t xml:space="preserve"> The CES-D score will be used in the predictive model. </w:t>
      </w:r>
    </w:p>
    <w:p w:rsidR="0098419C" w:rsidRDefault="0098419C" w:rsidP="0098419C">
      <w:pPr>
        <w:tabs>
          <w:tab w:val="left" w:pos="461"/>
        </w:tabs>
      </w:pPr>
      <w:r>
        <w:tab/>
      </w:r>
    </w:p>
    <w:p w:rsidR="0098419C" w:rsidRDefault="0098419C" w:rsidP="0098419C">
      <w:pPr>
        <w:tabs>
          <w:tab w:val="left" w:pos="461"/>
        </w:tabs>
      </w:pPr>
      <w:r>
        <w:t xml:space="preserve">    1.5.3 Demographics</w:t>
      </w:r>
    </w:p>
    <w:p w:rsidR="0098419C" w:rsidRDefault="0098419C" w:rsidP="0098419C">
      <w:pPr>
        <w:tabs>
          <w:tab w:val="left" w:pos="461"/>
        </w:tabs>
      </w:pPr>
      <w:r>
        <w:t>Age – used as a continuous variable, race/ethnicity, and education level</w:t>
      </w:r>
    </w:p>
    <w:p w:rsidR="0098419C" w:rsidRDefault="0098419C" w:rsidP="0098419C">
      <w:pPr>
        <w:tabs>
          <w:tab w:val="left" w:pos="461"/>
        </w:tabs>
      </w:pPr>
      <w:r>
        <w:t xml:space="preserve">     </w:t>
      </w:r>
    </w:p>
    <w:p w:rsidR="009B0F4F" w:rsidRPr="00D639B4" w:rsidRDefault="0098419C" w:rsidP="002F5831">
      <w:pPr>
        <w:tabs>
          <w:tab w:val="left" w:pos="461"/>
        </w:tabs>
      </w:pPr>
      <w:r>
        <w:t xml:space="preserve">    </w:t>
      </w:r>
      <w:r w:rsidRPr="00B314CC">
        <w:t>1.5.4. Table 3. represents</w:t>
      </w:r>
      <w:r>
        <w:t xml:space="preserve"> the validated biological and clinical markers used to predict frailty in the InCHIANTI data. Table II. Describes the clinical and biological markers available for the prediction of frailty in the ARIC dataset. </w:t>
      </w:r>
      <w:r w:rsidR="002F5831">
        <w:t xml:space="preserve">In </w:t>
      </w:r>
      <w:r>
        <w:t xml:space="preserve">ARIC, 3 biological markers were used as substitutes (serum TNF used instead of </w:t>
      </w:r>
      <w:r w:rsidRPr="00663A3B">
        <w:t>TNF-a receptor I</w:t>
      </w:r>
      <w:r>
        <w:t xml:space="preserve">&amp;II, total testosterone used instead of </w:t>
      </w:r>
      <w:r w:rsidRPr="00663A3B">
        <w:t>Free testosterone</w:t>
      </w:r>
      <w:r>
        <w:t xml:space="preserve">, and serum creatinine used instead of  </w:t>
      </w:r>
      <w:r w:rsidRPr="00E21CE7">
        <w:rPr>
          <w:rFonts w:eastAsia="Times New Roman"/>
          <w:color w:val="000000"/>
        </w:rPr>
        <w:t>Creatinine clearance, 24-hr urine</w:t>
      </w:r>
      <w:r>
        <w:rPr>
          <w:rFonts w:eastAsia="Times New Roman"/>
          <w:color w:val="000000"/>
        </w:rPr>
        <w:t>/</w:t>
      </w:r>
      <w:r w:rsidRPr="00663A3B">
        <w:t>24-hour urinary creatinine</w:t>
      </w:r>
      <w:r>
        <w:t xml:space="preserve">). </w:t>
      </w:r>
      <w:proofErr w:type="spellStart"/>
      <w:r w:rsidR="00D06EDA" w:rsidRPr="00D639B4">
        <w:t>InCHAINTI</w:t>
      </w:r>
      <w:proofErr w:type="spellEnd"/>
      <w:r w:rsidR="00D06EDA" w:rsidRPr="00D639B4">
        <w:t xml:space="preserve"> model </w:t>
      </w:r>
      <w:r w:rsidR="002F5831">
        <w:t xml:space="preserve">has a total of </w:t>
      </w:r>
      <w:r w:rsidR="00D06EDA" w:rsidRPr="00D639B4">
        <w:t>19 frail clinical and biological markers</w:t>
      </w:r>
      <w:r w:rsidR="002F5831">
        <w:t xml:space="preserve"> and</w:t>
      </w:r>
      <w:r w:rsidR="004844F8">
        <w:t xml:space="preserve"> 13 total frail markers </w:t>
      </w:r>
      <w:r w:rsidR="002F5831">
        <w:t xml:space="preserve">are </w:t>
      </w:r>
      <w:r w:rsidR="004844F8">
        <w:t>available in ARIC</w:t>
      </w:r>
      <w:r w:rsidR="002F5831">
        <w:t xml:space="preserve">. </w:t>
      </w:r>
      <w:proofErr w:type="spellStart"/>
      <w:r w:rsidR="009B0F4F" w:rsidRPr="00D639B4">
        <w:t>InCHAINTI</w:t>
      </w:r>
      <w:proofErr w:type="spellEnd"/>
      <w:r w:rsidR="009B0F4F" w:rsidRPr="00D639B4">
        <w:t xml:space="preserve"> model</w:t>
      </w:r>
      <w:r w:rsidR="002F5831">
        <w:t xml:space="preserve"> has a total of</w:t>
      </w:r>
      <w:r w:rsidR="009B0F4F" w:rsidRPr="00D639B4">
        <w:t xml:space="preserve"> 22 pre-frail clinical and biological markers </w:t>
      </w:r>
      <w:r w:rsidR="002F5831">
        <w:t>and</w:t>
      </w:r>
      <w:r w:rsidR="00FB4773">
        <w:t xml:space="preserve"> 16 total prefrail markers </w:t>
      </w:r>
      <w:r w:rsidR="002F5831">
        <w:t xml:space="preserve">are </w:t>
      </w:r>
      <w:r w:rsidR="00FB4773">
        <w:t>available in ARIC</w:t>
      </w:r>
      <w:r w:rsidR="002F5831">
        <w:t xml:space="preserve">. </w:t>
      </w: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sectPr w:rsidR="0098419C" w:rsidSect="00AF52F8">
          <w:pgSz w:w="12240" w:h="15840"/>
          <w:pgMar w:top="720" w:right="720" w:bottom="720" w:left="720" w:header="720" w:footer="720" w:gutter="0"/>
          <w:cols w:space="720"/>
          <w:docGrid w:linePitch="360"/>
        </w:sectPr>
      </w:pPr>
    </w:p>
    <w:p w:rsidR="0098419C" w:rsidRDefault="0098419C" w:rsidP="0098419C">
      <w:pPr>
        <w:spacing w:line="360" w:lineRule="auto"/>
        <w:rPr>
          <w:rFonts w:asciiTheme="minorHAnsi" w:hAnsiTheme="minorHAnsi" w:cstheme="minorHAnsi"/>
        </w:rPr>
      </w:pPr>
    </w:p>
    <w:p w:rsidR="0098419C" w:rsidRPr="00C63436" w:rsidRDefault="0098419C" w:rsidP="0098419C">
      <w:pPr>
        <w:spacing w:line="360" w:lineRule="auto"/>
        <w:rPr>
          <w:rFonts w:asciiTheme="minorHAnsi" w:hAnsiTheme="minorHAnsi" w:cstheme="minorHAnsi"/>
        </w:rPr>
      </w:pPr>
      <w:r w:rsidRPr="00C63436">
        <w:rPr>
          <w:rFonts w:asciiTheme="minorHAnsi" w:hAnsiTheme="minorHAnsi" w:cstheme="minorHAnsi"/>
        </w:rPr>
        <w:t xml:space="preserve">Table 1. InCHIANTI and ARIC participants characteristics </w:t>
      </w:r>
    </w:p>
    <w:tbl>
      <w:tblPr>
        <w:tblStyle w:val="TableGrid"/>
        <w:tblW w:w="13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1533"/>
        <w:gridCol w:w="1705"/>
        <w:gridCol w:w="1350"/>
        <w:gridCol w:w="1350"/>
        <w:gridCol w:w="920"/>
        <w:gridCol w:w="1764"/>
        <w:gridCol w:w="1636"/>
        <w:gridCol w:w="1565"/>
      </w:tblGrid>
      <w:tr w:rsidR="0098419C" w:rsidRPr="00C63436" w:rsidTr="00CA55DB">
        <w:trPr>
          <w:trHeight w:val="551"/>
        </w:trPr>
        <w:tc>
          <w:tcPr>
            <w:tcW w:w="1977" w:type="dxa"/>
            <w:tcBorders>
              <w:top w:val="single" w:sz="4" w:space="0" w:color="auto"/>
              <w:bottom w:val="single" w:sz="4" w:space="0" w:color="auto"/>
            </w:tcBorders>
            <w:shd w:val="clear" w:color="auto" w:fill="D0CECE" w:themeFill="background2" w:themeFillShade="E6"/>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 xml:space="preserve">                                                  </w:t>
            </w:r>
          </w:p>
        </w:tc>
        <w:tc>
          <w:tcPr>
            <w:tcW w:w="1533"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InCHIANTI</w:t>
            </w:r>
          </w:p>
        </w:tc>
        <w:tc>
          <w:tcPr>
            <w:tcW w:w="1705"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c>
          <w:tcPr>
            <w:tcW w:w="920"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ARIC</w:t>
            </w:r>
          </w:p>
        </w:tc>
        <w:tc>
          <w:tcPr>
            <w:tcW w:w="1764"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636"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565"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r>
      <w:tr w:rsidR="0098419C" w:rsidRPr="00C63436" w:rsidTr="00CA55DB">
        <w:trPr>
          <w:trHeight w:val="413"/>
        </w:trPr>
        <w:tc>
          <w:tcPr>
            <w:tcW w:w="3510" w:type="dxa"/>
            <w:gridSpan w:val="2"/>
            <w:tcBorders>
              <w:top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Phenotype (n)</w:t>
            </w:r>
          </w:p>
        </w:tc>
        <w:tc>
          <w:tcPr>
            <w:tcW w:w="1705"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507</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434</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85</w:t>
            </w:r>
          </w:p>
        </w:tc>
        <w:tc>
          <w:tcPr>
            <w:tcW w:w="920" w:type="dxa"/>
            <w:tcBorders>
              <w:top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3025</w:t>
            </w:r>
          </w:p>
        </w:tc>
        <w:tc>
          <w:tcPr>
            <w:tcW w:w="1636"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3050</w:t>
            </w:r>
          </w:p>
        </w:tc>
        <w:tc>
          <w:tcPr>
            <w:tcW w:w="1565"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433</w:t>
            </w:r>
          </w:p>
        </w:tc>
      </w:tr>
      <w:tr w:rsidR="00942A6A" w:rsidRPr="00C63436" w:rsidTr="00CA55DB">
        <w:trPr>
          <w:trHeight w:val="413"/>
        </w:trPr>
        <w:tc>
          <w:tcPr>
            <w:tcW w:w="3510" w:type="dxa"/>
            <w:gridSpan w:val="2"/>
            <w:shd w:val="clear" w:color="auto" w:fill="auto"/>
            <w:vAlign w:val="center"/>
          </w:tcPr>
          <w:p w:rsidR="00942A6A" w:rsidRPr="00C63436" w:rsidRDefault="00942A6A" w:rsidP="00942A6A">
            <w:pPr>
              <w:rPr>
                <w:rFonts w:asciiTheme="minorHAnsi" w:hAnsiTheme="minorHAnsi" w:cstheme="minorHAnsi"/>
              </w:rPr>
            </w:pPr>
            <w:bookmarkStart w:id="0" w:name="_GoBack" w:colFirst="5" w:colLast="7"/>
            <w:r w:rsidRPr="00C63436">
              <w:rPr>
                <w:rFonts w:asciiTheme="minorHAnsi" w:hAnsiTheme="minorHAnsi" w:cstheme="minorHAnsi"/>
              </w:rPr>
              <w:t xml:space="preserve">Age, </w:t>
            </w:r>
          </w:p>
          <w:p w:rsidR="00942A6A" w:rsidRPr="00C63436" w:rsidRDefault="00942A6A" w:rsidP="00942A6A">
            <w:pPr>
              <w:rPr>
                <w:rFonts w:asciiTheme="minorHAnsi" w:hAnsiTheme="minorHAnsi" w:cstheme="minorHAnsi"/>
              </w:rPr>
            </w:pPr>
            <w:r w:rsidRPr="00C63436">
              <w:rPr>
                <w:rFonts w:asciiTheme="minorHAnsi" w:hAnsiTheme="minorHAnsi" w:cstheme="minorHAnsi"/>
              </w:rPr>
              <w:t xml:space="preserve">    mean(S</w:t>
            </w:r>
            <w:r>
              <w:rPr>
                <w:rFonts w:asciiTheme="minorHAnsi" w:hAnsiTheme="minorHAnsi" w:cstheme="minorHAnsi"/>
              </w:rPr>
              <w:t>E</w:t>
            </w:r>
            <w:r w:rsidRPr="00C63436">
              <w:rPr>
                <w:rFonts w:asciiTheme="minorHAnsi" w:hAnsiTheme="minorHAnsi" w:cstheme="minorHAnsi"/>
              </w:rPr>
              <w:t>)</w:t>
            </w:r>
          </w:p>
        </w:tc>
        <w:tc>
          <w:tcPr>
            <w:tcW w:w="1705" w:type="dxa"/>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72(0.30)</w:t>
            </w:r>
          </w:p>
        </w:tc>
        <w:tc>
          <w:tcPr>
            <w:tcW w:w="1350" w:type="dxa"/>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77(0.32)</w:t>
            </w:r>
          </w:p>
        </w:tc>
        <w:tc>
          <w:tcPr>
            <w:tcW w:w="1350" w:type="dxa"/>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81(0.65)</w:t>
            </w:r>
          </w:p>
        </w:tc>
        <w:tc>
          <w:tcPr>
            <w:tcW w:w="920" w:type="dxa"/>
            <w:shd w:val="clear" w:color="auto" w:fill="auto"/>
          </w:tcPr>
          <w:p w:rsidR="00942A6A" w:rsidRPr="00C63436" w:rsidRDefault="00942A6A" w:rsidP="00942A6A">
            <w:pPr>
              <w:jc w:val="center"/>
              <w:rPr>
                <w:rFonts w:asciiTheme="minorHAnsi" w:hAnsiTheme="minorHAnsi" w:cstheme="minorHAnsi"/>
              </w:rPr>
            </w:pPr>
          </w:p>
        </w:tc>
        <w:tc>
          <w:tcPr>
            <w:tcW w:w="1764" w:type="dxa"/>
            <w:shd w:val="clear" w:color="auto" w:fill="auto"/>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75(4.8)</w:t>
            </w:r>
          </w:p>
        </w:tc>
        <w:tc>
          <w:tcPr>
            <w:tcW w:w="1636" w:type="dxa"/>
            <w:shd w:val="clear" w:color="auto" w:fill="auto"/>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77(5.4)</w:t>
            </w:r>
          </w:p>
        </w:tc>
        <w:tc>
          <w:tcPr>
            <w:tcW w:w="1565" w:type="dxa"/>
            <w:shd w:val="clear" w:color="auto" w:fill="auto"/>
            <w:vAlign w:val="center"/>
          </w:tcPr>
          <w:p w:rsidR="00942A6A" w:rsidRPr="00C63436" w:rsidRDefault="00942A6A" w:rsidP="00942A6A">
            <w:pPr>
              <w:jc w:val="center"/>
              <w:rPr>
                <w:rFonts w:asciiTheme="minorHAnsi" w:hAnsiTheme="minorHAnsi" w:cstheme="minorHAnsi"/>
              </w:rPr>
            </w:pPr>
            <w:r>
              <w:rPr>
                <w:rFonts w:asciiTheme="minorHAnsi" w:hAnsiTheme="minorHAnsi" w:cstheme="minorHAnsi"/>
              </w:rPr>
              <w:t>79(5.6)</w:t>
            </w:r>
          </w:p>
        </w:tc>
      </w:tr>
      <w:bookmarkEnd w:id="0"/>
      <w:tr w:rsidR="0098419C" w:rsidRPr="00C63436" w:rsidTr="00CA55DB">
        <w:trPr>
          <w:trHeight w:val="413"/>
        </w:trPr>
        <w:tc>
          <w:tcPr>
            <w:tcW w:w="3510"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Gender,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Male (n)</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Female (n)</w:t>
            </w:r>
          </w:p>
        </w:tc>
        <w:tc>
          <w:tcPr>
            <w:tcW w:w="1705"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51.5(261)</w:t>
            </w:r>
          </w:p>
          <w:p w:rsidR="0098419C" w:rsidRPr="00C63436" w:rsidRDefault="0098419C" w:rsidP="003F3E72">
            <w:pPr>
              <w:jc w:val="center"/>
              <w:rPr>
                <w:rFonts w:asciiTheme="minorHAnsi" w:hAnsiTheme="minorHAnsi" w:cstheme="minorHAnsi"/>
              </w:rPr>
            </w:pPr>
            <w:r>
              <w:rPr>
                <w:rFonts w:asciiTheme="minorHAnsi" w:hAnsiTheme="minorHAnsi" w:cstheme="minorHAnsi"/>
              </w:rPr>
              <w:t>48.5(246)</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37.1(161)</w:t>
            </w:r>
          </w:p>
          <w:p w:rsidR="0098419C" w:rsidRPr="00C63436" w:rsidRDefault="0098419C" w:rsidP="003F3E72">
            <w:pPr>
              <w:jc w:val="center"/>
              <w:rPr>
                <w:rFonts w:asciiTheme="minorHAnsi" w:hAnsiTheme="minorHAnsi" w:cstheme="minorHAnsi"/>
              </w:rPr>
            </w:pPr>
            <w:r>
              <w:rPr>
                <w:rFonts w:asciiTheme="minorHAnsi" w:hAnsiTheme="minorHAnsi" w:cstheme="minorHAnsi"/>
              </w:rPr>
              <w:t>62.9(273)</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37.6(32)</w:t>
            </w:r>
          </w:p>
          <w:p w:rsidR="0098419C" w:rsidRPr="00C63436" w:rsidRDefault="0098419C" w:rsidP="003F3E72">
            <w:pPr>
              <w:jc w:val="center"/>
              <w:rPr>
                <w:rFonts w:asciiTheme="minorHAnsi" w:hAnsiTheme="minorHAnsi" w:cstheme="minorHAnsi"/>
              </w:rPr>
            </w:pPr>
            <w:r>
              <w:rPr>
                <w:rFonts w:asciiTheme="minorHAnsi" w:hAnsiTheme="minorHAnsi" w:cstheme="minorHAnsi"/>
              </w:rPr>
              <w:t>62.4(53)</w:t>
            </w: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44</w:t>
            </w:r>
            <w:r>
              <w:rPr>
                <w:rFonts w:asciiTheme="minorHAnsi" w:hAnsiTheme="minorHAnsi" w:cstheme="minorHAnsi"/>
              </w:rPr>
              <w:t>.3</w:t>
            </w:r>
            <w:r w:rsidRPr="00C63436">
              <w:rPr>
                <w:rFonts w:asciiTheme="minorHAnsi" w:hAnsiTheme="minorHAnsi" w:cstheme="minorHAnsi"/>
              </w:rPr>
              <w:t>(1339)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55.7(1686)</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39.3(1199)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60.7(1851)</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33.5(145)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66.5(288)</w:t>
            </w:r>
          </w:p>
        </w:tc>
      </w:tr>
      <w:tr w:rsidR="0098419C" w:rsidRPr="00C63436" w:rsidTr="00CA55DB">
        <w:trPr>
          <w:trHeight w:val="413"/>
        </w:trPr>
        <w:tc>
          <w:tcPr>
            <w:tcW w:w="3510"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Race,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Black or African American* </w:t>
            </w:r>
          </w:p>
          <w:p w:rsidR="0098419C" w:rsidRPr="00C63436" w:rsidRDefault="0098419C" w:rsidP="003F3E72">
            <w:pPr>
              <w:rPr>
                <w:rFonts w:asciiTheme="minorHAnsi" w:hAnsiTheme="minorHAnsi" w:cstheme="minorHAnsi"/>
              </w:rPr>
            </w:pPr>
            <w:r w:rsidRPr="00C63436">
              <w:rPr>
                <w:rFonts w:asciiTheme="minorHAnsi" w:hAnsiTheme="minorHAnsi" w:cstheme="minorHAnsi"/>
              </w:rPr>
              <w:t>White*</w:t>
            </w:r>
          </w:p>
          <w:p w:rsidR="0098419C" w:rsidRPr="00C63436" w:rsidRDefault="0098419C" w:rsidP="003F3E72">
            <w:pPr>
              <w:rPr>
                <w:rFonts w:asciiTheme="minorHAnsi" w:hAnsiTheme="minorHAnsi" w:cstheme="minorHAnsi"/>
              </w:rPr>
            </w:pPr>
            <w:r w:rsidRPr="00C63436">
              <w:rPr>
                <w:rFonts w:asciiTheme="minorHAnsi" w:hAnsiTheme="minorHAnsi" w:cstheme="minorHAnsi"/>
              </w:rPr>
              <w:t>American Indian or Alaskan Indian</w:t>
            </w:r>
          </w:p>
          <w:p w:rsidR="0098419C" w:rsidRPr="00C63436" w:rsidRDefault="0098419C" w:rsidP="003F3E72">
            <w:pPr>
              <w:rPr>
                <w:rFonts w:asciiTheme="minorHAnsi" w:hAnsiTheme="minorHAnsi" w:cstheme="minorHAnsi"/>
              </w:rPr>
            </w:pPr>
            <w:r w:rsidRPr="00C63436">
              <w:rPr>
                <w:rFonts w:asciiTheme="minorHAnsi" w:hAnsiTheme="minorHAnsi" w:cstheme="minorHAnsi"/>
              </w:rPr>
              <w:t>Asian</w:t>
            </w:r>
          </w:p>
        </w:tc>
        <w:tc>
          <w:tcPr>
            <w:tcW w:w="1705"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21.12(639)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78.7(2380)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25.2(769)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74.4(2269)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0.30(9)</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27.3(118)</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72.8(315)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tc>
      </w:tr>
      <w:tr w:rsidR="0098419C" w:rsidRPr="00C63436" w:rsidTr="00CA55DB">
        <w:trPr>
          <w:trHeight w:val="196"/>
        </w:trPr>
        <w:tc>
          <w:tcPr>
            <w:tcW w:w="3510" w:type="dxa"/>
            <w:gridSpan w:val="2"/>
            <w:tcBorders>
              <w:bottom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Education, %</w:t>
            </w:r>
          </w:p>
          <w:tbl>
            <w:tblPr>
              <w:tblW w:w="4347" w:type="dxa"/>
              <w:tblInd w:w="132" w:type="dxa"/>
              <w:tblLayout w:type="fixed"/>
              <w:tblLook w:val="04A0" w:firstRow="1" w:lastRow="0" w:firstColumn="1" w:lastColumn="0" w:noHBand="0" w:noVBand="1"/>
            </w:tblPr>
            <w:tblGrid>
              <w:gridCol w:w="4347"/>
            </w:tblGrid>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No Education</w:t>
                  </w:r>
                </w:p>
              </w:tc>
            </w:tr>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Elementary Secondary</w:t>
                  </w:r>
                </w:p>
              </w:tc>
            </w:tr>
            <w:tr w:rsidR="0098419C" w:rsidRPr="00C63436" w:rsidTr="003F3E72">
              <w:trPr>
                <w:trHeight w:val="253"/>
              </w:trPr>
              <w:tc>
                <w:tcPr>
                  <w:tcW w:w="4347" w:type="dxa"/>
                  <w:tcBorders>
                    <w:top w:val="nil"/>
                    <w:left w:val="nil"/>
                    <w:bottom w:val="nil"/>
                    <w:right w:val="nil"/>
                  </w:tcBorders>
                  <w:shd w:val="clear" w:color="auto" w:fill="auto"/>
                  <w:noWrap/>
                  <w:vAlign w:val="bottom"/>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MS Mincho" w:hAnsiTheme="minorHAnsi" w:cstheme="minorHAnsi"/>
                      <w:color w:val="000000"/>
                    </w:rPr>
                    <w:t xml:space="preserve"> </w:t>
                  </w:r>
                  <w:r w:rsidRPr="00C63436">
                    <w:rPr>
                      <w:rFonts w:ascii="Cambria Math" w:eastAsia="MS Mincho" w:hAnsi="Cambria Math" w:cs="Cambria Math"/>
                      <w:color w:val="000000"/>
                    </w:rPr>
                    <w:t>≧</w:t>
                  </w:r>
                  <w:r w:rsidRPr="00C63436">
                    <w:rPr>
                      <w:rFonts w:asciiTheme="minorHAnsi" w:eastAsia="Times New Roman" w:hAnsiTheme="minorHAnsi" w:cstheme="minorHAnsi"/>
                      <w:color w:val="000000"/>
                    </w:rPr>
                    <w:t xml:space="preserve"> High School</w:t>
                  </w:r>
                </w:p>
              </w:tc>
            </w:tr>
          </w:tbl>
          <w:p w:rsidR="0098419C" w:rsidRPr="00C63436" w:rsidRDefault="0098419C" w:rsidP="003F3E72">
            <w:pPr>
              <w:rPr>
                <w:rFonts w:asciiTheme="minorHAnsi" w:hAnsiTheme="minorHAnsi" w:cstheme="minorHAnsi"/>
              </w:rPr>
            </w:pPr>
          </w:p>
        </w:tc>
        <w:tc>
          <w:tcPr>
            <w:tcW w:w="1705"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rPr>
                <w:rFonts w:asciiTheme="minorHAnsi" w:hAnsiTheme="minorHAnsi" w:cstheme="minorHAnsi"/>
              </w:rPr>
            </w:pPr>
          </w:p>
        </w:tc>
        <w:tc>
          <w:tcPr>
            <w:tcW w:w="920" w:type="dxa"/>
            <w:tcBorders>
              <w:bottom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636"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565"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r>
    </w:tbl>
    <w:p w:rsidR="0098419C" w:rsidRPr="00C63436" w:rsidRDefault="0098419C" w:rsidP="0098419C">
      <w:pPr>
        <w:rPr>
          <w:rFonts w:asciiTheme="minorHAnsi" w:hAnsiTheme="minorHAnsi" w:cstheme="minorHAnsi"/>
        </w:rPr>
      </w:pPr>
    </w:p>
    <w:p w:rsidR="0098419C" w:rsidRDefault="0098419C"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98419C" w:rsidRDefault="0098419C" w:rsidP="0098419C">
      <w:pPr>
        <w:rPr>
          <w:rFonts w:asciiTheme="minorHAnsi" w:hAnsiTheme="minorHAnsi" w:cstheme="minorHAnsi"/>
        </w:rPr>
      </w:pPr>
    </w:p>
    <w:p w:rsidR="00EE50D7" w:rsidRDefault="00EE50D7" w:rsidP="0098419C">
      <w:pPr>
        <w:rPr>
          <w:rFonts w:asciiTheme="minorHAnsi" w:hAnsiTheme="minorHAnsi" w:cstheme="minorHAnsi"/>
        </w:rPr>
      </w:pPr>
    </w:p>
    <w:p w:rsidR="00D639B4" w:rsidRPr="00C63436" w:rsidRDefault="00D639B4" w:rsidP="0098419C">
      <w:pPr>
        <w:rPr>
          <w:rFonts w:asciiTheme="minorHAnsi" w:hAnsiTheme="minorHAnsi" w:cstheme="minorHAnsi"/>
        </w:rPr>
      </w:pPr>
    </w:p>
    <w:p w:rsidR="0098419C" w:rsidRDefault="0098419C" w:rsidP="0098419C">
      <w:pPr>
        <w:tabs>
          <w:tab w:val="left" w:pos="461"/>
        </w:tabs>
        <w:rPr>
          <w:rFonts w:asciiTheme="minorHAnsi" w:hAnsiTheme="minorHAnsi" w:cstheme="minorHAnsi"/>
        </w:rPr>
      </w:pPr>
      <w:r w:rsidRPr="00C63436">
        <w:rPr>
          <w:rFonts w:asciiTheme="minorHAnsi" w:hAnsiTheme="minorHAnsi" w:cstheme="minorHAnsi"/>
        </w:rPr>
        <w:lastRenderedPageBreak/>
        <w:t>Table</w:t>
      </w:r>
      <w:r>
        <w:rPr>
          <w:rFonts w:asciiTheme="minorHAnsi" w:hAnsiTheme="minorHAnsi" w:cstheme="minorHAnsi"/>
        </w:rPr>
        <w:t xml:space="preserve"> 3</w:t>
      </w:r>
      <w:r w:rsidRPr="00C63436">
        <w:rPr>
          <w:rFonts w:asciiTheme="minorHAnsi" w:hAnsiTheme="minorHAnsi" w:cstheme="minorHAnsi"/>
        </w:rPr>
        <w:t xml:space="preserve">. Biological and Clinical Predictors: InCHIANTI and ARIC </w:t>
      </w:r>
      <w:r>
        <w:rPr>
          <w:rFonts w:asciiTheme="minorHAnsi" w:hAnsiTheme="minorHAnsi" w:cstheme="minorHAnsi"/>
        </w:rPr>
        <w:t xml:space="preserve">(supplemental table) </w:t>
      </w:r>
    </w:p>
    <w:tbl>
      <w:tblPr>
        <w:tblStyle w:val="TableGrid"/>
        <w:tblW w:w="0" w:type="auto"/>
        <w:tblLook w:val="04A0" w:firstRow="1" w:lastRow="0" w:firstColumn="1" w:lastColumn="0" w:noHBand="0" w:noVBand="1"/>
      </w:tblPr>
      <w:tblGrid>
        <w:gridCol w:w="3260"/>
        <w:gridCol w:w="1985"/>
        <w:gridCol w:w="2220"/>
        <w:gridCol w:w="1890"/>
        <w:gridCol w:w="1620"/>
        <w:gridCol w:w="2250"/>
      </w:tblGrid>
      <w:tr w:rsidR="00A27F50" w:rsidTr="0027133A">
        <w:trPr>
          <w:trHeight w:val="272"/>
        </w:trPr>
        <w:tc>
          <w:tcPr>
            <w:tcW w:w="3260" w:type="dxa"/>
            <w:shd w:val="clear" w:color="auto" w:fill="E7E6E6" w:themeFill="background2"/>
            <w:vAlign w:val="center"/>
          </w:tcPr>
          <w:p w:rsidR="00A27F50" w:rsidRPr="00E871FC" w:rsidRDefault="00A27F50" w:rsidP="00A27F50">
            <w:pPr>
              <w:tabs>
                <w:tab w:val="left" w:pos="461"/>
              </w:tabs>
              <w:jc w:val="center"/>
              <w:rPr>
                <w:b/>
              </w:rPr>
            </w:pPr>
          </w:p>
        </w:tc>
        <w:tc>
          <w:tcPr>
            <w:tcW w:w="1985" w:type="dxa"/>
            <w:shd w:val="clear" w:color="auto" w:fill="E7E6E6" w:themeFill="background2"/>
            <w:vAlign w:val="center"/>
          </w:tcPr>
          <w:p w:rsidR="007311A9" w:rsidRDefault="00A27F50" w:rsidP="00A27F50">
            <w:pPr>
              <w:tabs>
                <w:tab w:val="left" w:pos="461"/>
              </w:tabs>
              <w:jc w:val="center"/>
            </w:pPr>
            <w:r w:rsidRPr="00C63436">
              <w:rPr>
                <w:b/>
              </w:rPr>
              <w:t>InCHIANTI</w:t>
            </w:r>
            <w:r>
              <w:rPr>
                <w:b/>
              </w:rPr>
              <w:t xml:space="preserve"> </w:t>
            </w:r>
            <w:r>
              <w:t xml:space="preserve">n=1,026 </w:t>
            </w:r>
          </w:p>
          <w:p w:rsidR="00A27F50" w:rsidRPr="00C63436" w:rsidRDefault="00A27F50" w:rsidP="00A27F50">
            <w:pPr>
              <w:tabs>
                <w:tab w:val="left" w:pos="461"/>
              </w:tabs>
              <w:jc w:val="center"/>
              <w:rPr>
                <w:b/>
              </w:rPr>
            </w:pPr>
            <w:r>
              <w:t>Baseline Data</w:t>
            </w:r>
          </w:p>
        </w:tc>
        <w:tc>
          <w:tcPr>
            <w:tcW w:w="5730" w:type="dxa"/>
            <w:gridSpan w:val="3"/>
            <w:shd w:val="clear" w:color="auto" w:fill="E7E6E6" w:themeFill="background2"/>
            <w:vAlign w:val="center"/>
          </w:tcPr>
          <w:p w:rsidR="00A27F50" w:rsidRPr="00E21CE7" w:rsidRDefault="00A27F50" w:rsidP="00A27F50">
            <w:pPr>
              <w:tabs>
                <w:tab w:val="left" w:pos="461"/>
              </w:tabs>
              <w:jc w:val="center"/>
              <w:rPr>
                <w:rFonts w:eastAsia="Times New Roman"/>
                <w:b/>
                <w:bCs/>
                <w:color w:val="000000"/>
              </w:rPr>
            </w:pPr>
            <w:r>
              <w:rPr>
                <w:rFonts w:eastAsia="Times New Roman"/>
                <w:b/>
                <w:bCs/>
                <w:color w:val="000000"/>
              </w:rPr>
              <w:t>ARIC</w:t>
            </w:r>
          </w:p>
          <w:p w:rsidR="00A27F50" w:rsidRDefault="00A27F50" w:rsidP="00A27F50">
            <w:pPr>
              <w:tabs>
                <w:tab w:val="left" w:pos="461"/>
              </w:tabs>
              <w:jc w:val="center"/>
              <w:rPr>
                <w:rFonts w:eastAsia="Times New Roman"/>
                <w:b/>
                <w:bCs/>
                <w:color w:val="000000"/>
              </w:rPr>
            </w:pPr>
          </w:p>
        </w:tc>
        <w:tc>
          <w:tcPr>
            <w:tcW w:w="2250" w:type="dxa"/>
            <w:shd w:val="clear" w:color="auto" w:fill="E7E6E6" w:themeFill="background2"/>
            <w:vAlign w:val="center"/>
          </w:tcPr>
          <w:p w:rsidR="00A27F50" w:rsidRDefault="00A27F50" w:rsidP="0027133A">
            <w:pPr>
              <w:tabs>
                <w:tab w:val="left" w:pos="461"/>
              </w:tabs>
              <w:jc w:val="center"/>
              <w:rPr>
                <w:rFonts w:eastAsia="Times New Roman"/>
                <w:b/>
                <w:bCs/>
                <w:color w:val="000000"/>
              </w:rPr>
            </w:pPr>
            <w:r>
              <w:rPr>
                <w:rFonts w:eastAsia="Times New Roman"/>
                <w:b/>
                <w:bCs/>
                <w:color w:val="000000"/>
              </w:rPr>
              <w:t>Frailty</w:t>
            </w:r>
          </w:p>
          <w:p w:rsidR="00A27F50" w:rsidRDefault="00A27F50" w:rsidP="0027133A">
            <w:pPr>
              <w:tabs>
                <w:tab w:val="left" w:pos="461"/>
              </w:tabs>
              <w:jc w:val="center"/>
              <w:rPr>
                <w:rFonts w:eastAsia="Times New Roman"/>
                <w:b/>
                <w:bCs/>
                <w:color w:val="000000"/>
              </w:rPr>
            </w:pPr>
            <w:r>
              <w:rPr>
                <w:rFonts w:eastAsia="Times New Roman"/>
                <w:b/>
                <w:bCs/>
                <w:color w:val="000000"/>
              </w:rPr>
              <w:t>Feature</w:t>
            </w:r>
          </w:p>
        </w:tc>
      </w:tr>
      <w:tr w:rsidR="00A27F50" w:rsidTr="0027133A">
        <w:trPr>
          <w:trHeight w:val="272"/>
        </w:trPr>
        <w:tc>
          <w:tcPr>
            <w:tcW w:w="3260" w:type="dxa"/>
            <w:shd w:val="clear" w:color="auto" w:fill="AEAAAA" w:themeFill="background2" w:themeFillShade="BF"/>
            <w:vAlign w:val="center"/>
          </w:tcPr>
          <w:p w:rsidR="00A27F50" w:rsidRPr="00E21CE7" w:rsidRDefault="00A27F50" w:rsidP="00A27F50">
            <w:pPr>
              <w:tabs>
                <w:tab w:val="left" w:pos="461"/>
              </w:tabs>
              <w:jc w:val="center"/>
              <w:rPr>
                <w:rFonts w:eastAsia="Times New Roman"/>
                <w:b/>
                <w:bCs/>
                <w:color w:val="000000"/>
              </w:rPr>
            </w:pPr>
            <w:r w:rsidRPr="00E871FC">
              <w:rPr>
                <w:b/>
              </w:rPr>
              <w:t>Clinical</w:t>
            </w:r>
          </w:p>
        </w:tc>
        <w:tc>
          <w:tcPr>
            <w:tcW w:w="1985" w:type="dxa"/>
            <w:shd w:val="clear" w:color="auto" w:fill="AEAAAA" w:themeFill="background2" w:themeFillShade="BF"/>
            <w:vAlign w:val="center"/>
          </w:tcPr>
          <w:p w:rsidR="00A27F50" w:rsidRDefault="00A27F50" w:rsidP="00A27F50">
            <w:pPr>
              <w:tabs>
                <w:tab w:val="left" w:pos="461"/>
              </w:tabs>
              <w:jc w:val="center"/>
            </w:pPr>
            <w:r>
              <w:t>Variable</w:t>
            </w:r>
          </w:p>
        </w:tc>
        <w:tc>
          <w:tcPr>
            <w:tcW w:w="2220" w:type="dxa"/>
            <w:shd w:val="clear" w:color="auto" w:fill="AEAAAA" w:themeFill="background2" w:themeFillShade="BF"/>
            <w:vAlign w:val="center"/>
          </w:tcPr>
          <w:p w:rsidR="00A27F50" w:rsidRPr="0098419C" w:rsidRDefault="00A27F50" w:rsidP="00A27F50">
            <w:pPr>
              <w:tabs>
                <w:tab w:val="left" w:pos="461"/>
              </w:tabs>
              <w:jc w:val="center"/>
              <w:rPr>
                <w:rFonts w:eastAsia="Times New Roman"/>
                <w:bCs/>
                <w:color w:val="000000"/>
              </w:rPr>
            </w:pPr>
            <w:r>
              <w:rPr>
                <w:rFonts w:eastAsia="Times New Roman"/>
                <w:bCs/>
                <w:color w:val="000000"/>
              </w:rPr>
              <w:t>Variable</w:t>
            </w:r>
          </w:p>
        </w:tc>
        <w:tc>
          <w:tcPr>
            <w:tcW w:w="1890" w:type="dxa"/>
            <w:shd w:val="clear" w:color="auto" w:fill="AEAAAA" w:themeFill="background2" w:themeFillShade="BF"/>
          </w:tcPr>
          <w:p w:rsidR="00A27F50" w:rsidRDefault="0027133A" w:rsidP="00A27F50">
            <w:pPr>
              <w:tabs>
                <w:tab w:val="left" w:pos="461"/>
              </w:tabs>
              <w:jc w:val="center"/>
              <w:rPr>
                <w:rFonts w:eastAsia="Times New Roman"/>
                <w:bCs/>
                <w:color w:val="000000"/>
              </w:rPr>
            </w:pPr>
            <w:r>
              <w:rPr>
                <w:rFonts w:eastAsia="Times New Roman"/>
                <w:bCs/>
                <w:color w:val="000000"/>
              </w:rPr>
              <w:t>n</w:t>
            </w:r>
          </w:p>
        </w:tc>
        <w:tc>
          <w:tcPr>
            <w:tcW w:w="1620" w:type="dxa"/>
            <w:shd w:val="clear" w:color="auto" w:fill="AEAAAA" w:themeFill="background2" w:themeFillShade="BF"/>
            <w:vAlign w:val="center"/>
          </w:tcPr>
          <w:p w:rsidR="00A27F50" w:rsidRDefault="00A27F50" w:rsidP="00A27F50">
            <w:pPr>
              <w:tabs>
                <w:tab w:val="left" w:pos="461"/>
              </w:tabs>
              <w:jc w:val="center"/>
              <w:rPr>
                <w:rFonts w:eastAsia="Times New Roman"/>
                <w:bCs/>
                <w:color w:val="000000"/>
              </w:rPr>
            </w:pPr>
            <w:r>
              <w:rPr>
                <w:rFonts w:eastAsia="Times New Roman"/>
                <w:bCs/>
                <w:color w:val="000000"/>
              </w:rPr>
              <w:t>Time Point</w:t>
            </w:r>
          </w:p>
        </w:tc>
        <w:tc>
          <w:tcPr>
            <w:tcW w:w="2250" w:type="dxa"/>
            <w:shd w:val="clear" w:color="auto" w:fill="AEAAAA" w:themeFill="background2" w:themeFillShade="BF"/>
            <w:vAlign w:val="center"/>
          </w:tcPr>
          <w:p w:rsidR="00A27F50" w:rsidRDefault="00A27F50" w:rsidP="0027133A">
            <w:pPr>
              <w:tabs>
                <w:tab w:val="left" w:pos="461"/>
              </w:tabs>
              <w:jc w:val="center"/>
              <w:rPr>
                <w:rFonts w:eastAsia="Times New Roman"/>
                <w:bCs/>
                <w:color w:val="000000"/>
              </w:rP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t>Age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260"/>
        </w:trPr>
        <w:tc>
          <w:tcPr>
            <w:tcW w:w="3260" w:type="dxa"/>
            <w:vAlign w:val="center"/>
          </w:tcPr>
          <w:p w:rsidR="00A27F50" w:rsidRPr="00E21CE7" w:rsidRDefault="00A27F50" w:rsidP="00A27F50">
            <w:pPr>
              <w:tabs>
                <w:tab w:val="left" w:pos="461"/>
              </w:tabs>
              <w:jc w:val="center"/>
              <w:rPr>
                <w:rFonts w:eastAsia="Times New Roman"/>
                <w:b/>
                <w:bCs/>
                <w:color w:val="000000"/>
              </w:rPr>
            </w:pPr>
            <w:r>
              <w:t>Anticholinergic Burden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t>Depression/</w:t>
            </w:r>
            <w:r w:rsidRPr="002C1F2C">
              <w:t>CES-D self-report scale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6F66CF" w:rsidP="0027133A">
            <w:pPr>
              <w:tabs>
                <w:tab w:val="left" w:pos="461"/>
              </w:tabs>
              <w:jc w:val="center"/>
              <w:rPr>
                <w:rFonts w:eastAsia="Times New Roman"/>
                <w:bCs/>
                <w:color w:val="000000"/>
              </w:rPr>
            </w:pPr>
            <w:r>
              <w:rPr>
                <w:rFonts w:eastAsia="Times New Roman"/>
                <w:bCs/>
                <w:color w:val="000000"/>
              </w:rPr>
              <w:t>Frail</w:t>
            </w:r>
            <w:r w:rsidR="00467F35">
              <w:rPr>
                <w:rFonts w:eastAsia="Times New Roman"/>
                <w:bCs/>
                <w:color w:val="000000"/>
              </w:rPr>
              <w:t>/Prefrail</w:t>
            </w:r>
          </w:p>
        </w:tc>
      </w:tr>
      <w:tr w:rsidR="00A27F50" w:rsidTr="0027133A">
        <w:trPr>
          <w:trHeight w:val="272"/>
        </w:trPr>
        <w:tc>
          <w:tcPr>
            <w:tcW w:w="3260" w:type="dxa"/>
            <w:shd w:val="clear" w:color="auto" w:fill="AEAAAA" w:themeFill="background2" w:themeFillShade="BF"/>
            <w:vAlign w:val="center"/>
          </w:tcPr>
          <w:p w:rsidR="00A27F50" w:rsidRDefault="00A27F50" w:rsidP="00A27F50">
            <w:pPr>
              <w:tabs>
                <w:tab w:val="left" w:pos="461"/>
              </w:tabs>
              <w:jc w:val="center"/>
            </w:pPr>
            <w:r w:rsidRPr="00E21CE7">
              <w:rPr>
                <w:rFonts w:eastAsia="Times New Roman"/>
                <w:b/>
                <w:bCs/>
                <w:color w:val="000000"/>
              </w:rPr>
              <w:t>Inflammatory/Immunity</w:t>
            </w:r>
          </w:p>
        </w:tc>
        <w:tc>
          <w:tcPr>
            <w:tcW w:w="1985" w:type="dxa"/>
            <w:shd w:val="clear" w:color="auto" w:fill="AEAAAA" w:themeFill="background2" w:themeFillShade="BF"/>
            <w:vAlign w:val="center"/>
          </w:tcPr>
          <w:p w:rsidR="00A27F50" w:rsidRDefault="00A27F50" w:rsidP="00A27F50">
            <w:pPr>
              <w:tabs>
                <w:tab w:val="left" w:pos="461"/>
              </w:tabs>
              <w:jc w:val="center"/>
            </w:pPr>
          </w:p>
        </w:tc>
        <w:tc>
          <w:tcPr>
            <w:tcW w:w="2220" w:type="dxa"/>
            <w:shd w:val="clear" w:color="auto" w:fill="AEAAAA" w:themeFill="background2" w:themeFillShade="BF"/>
            <w:vAlign w:val="center"/>
          </w:tcPr>
          <w:p w:rsidR="00A27F50" w:rsidRDefault="00A27F50" w:rsidP="00A27F50">
            <w:pPr>
              <w:tabs>
                <w:tab w:val="left" w:pos="461"/>
              </w:tabs>
              <w:jc w:val="center"/>
            </w:pPr>
          </w:p>
        </w:tc>
        <w:tc>
          <w:tcPr>
            <w:tcW w:w="1890" w:type="dxa"/>
            <w:shd w:val="clear" w:color="auto" w:fill="AEAAAA" w:themeFill="background2" w:themeFillShade="BF"/>
            <w:vAlign w:val="center"/>
          </w:tcPr>
          <w:p w:rsidR="00A27F50" w:rsidRDefault="00A27F50" w:rsidP="00A27F50">
            <w:pPr>
              <w:tabs>
                <w:tab w:val="left" w:pos="461"/>
              </w:tabs>
              <w:jc w:val="center"/>
            </w:pPr>
          </w:p>
        </w:tc>
        <w:tc>
          <w:tcPr>
            <w:tcW w:w="1620" w:type="dxa"/>
            <w:shd w:val="clear" w:color="auto" w:fill="AEAAAA" w:themeFill="background2" w:themeFillShade="BF"/>
            <w:vAlign w:val="center"/>
          </w:tcPr>
          <w:p w:rsidR="00A27F50" w:rsidRDefault="00A27F50" w:rsidP="00A27F50">
            <w:pPr>
              <w:tabs>
                <w:tab w:val="left" w:pos="461"/>
              </w:tabs>
              <w:jc w:val="center"/>
            </w:pPr>
          </w:p>
        </w:tc>
        <w:tc>
          <w:tcPr>
            <w:tcW w:w="2250" w:type="dxa"/>
            <w:shd w:val="clear" w:color="auto" w:fill="AEAAAA" w:themeFill="background2" w:themeFillShade="BF"/>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jc w:val="center"/>
              <w:rPr>
                <w:b/>
              </w:rPr>
            </w:pPr>
            <w:r w:rsidRPr="00E21CE7">
              <w:rPr>
                <w:rFonts w:eastAsia="Times New Roman"/>
                <w:color w:val="000000"/>
              </w:rPr>
              <w:t>24-hour urinary cortisol (µg/24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Erythrocyte sedimentation rate (ESR) (mm/hour)</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C5218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Homocysteine via FPIA analysis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27133A" w:rsidP="00A27F50">
            <w:pPr>
              <w:tabs>
                <w:tab w:val="left" w:pos="461"/>
              </w:tabs>
              <w:jc w:val="center"/>
            </w:pPr>
            <w:r>
              <w:t>X</w:t>
            </w:r>
          </w:p>
        </w:tc>
        <w:tc>
          <w:tcPr>
            <w:tcW w:w="1890" w:type="dxa"/>
            <w:vAlign w:val="center"/>
          </w:tcPr>
          <w:p w:rsidR="00A27F50" w:rsidRPr="0027133A" w:rsidRDefault="0027133A" w:rsidP="00A27F50">
            <w:pPr>
              <w:tabs>
                <w:tab w:val="left" w:pos="461"/>
              </w:tabs>
              <w:jc w:val="center"/>
              <w:rPr>
                <w:color w:val="FF0000"/>
              </w:rPr>
            </w:pPr>
            <w:r w:rsidRPr="0027133A">
              <w:rPr>
                <w:color w:val="FF0000"/>
              </w:rPr>
              <w:t>328</w:t>
            </w:r>
          </w:p>
        </w:tc>
        <w:tc>
          <w:tcPr>
            <w:tcW w:w="1620" w:type="dxa"/>
            <w:vAlign w:val="center"/>
          </w:tcPr>
          <w:p w:rsidR="00A27F50" w:rsidRPr="0027133A" w:rsidRDefault="0027133A"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Interleukin-1B via ELISA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442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Interleukin-6 via ELISA ultrasensitive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572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Monocyte chemoattractant protein-1 via Bio-Plex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Pr="0027133A" w:rsidRDefault="00A27F50" w:rsidP="00A27F50">
            <w:pPr>
              <w:tabs>
                <w:tab w:val="left" w:pos="461"/>
              </w:tabs>
              <w:jc w:val="center"/>
              <w:rPr>
                <w:color w:val="FF0000"/>
              </w:rPr>
            </w:pPr>
            <w:r w:rsidRPr="0027133A">
              <w:rPr>
                <w:color w:val="FF0000"/>
              </w:rPr>
              <w:t>604</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 xml:space="preserve">(serum TNF) </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(serum TNF)</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Prefrail</w:t>
            </w:r>
          </w:p>
        </w:tc>
      </w:tr>
      <w:tr w:rsidR="00A27F50" w:rsidTr="003D12C5">
        <w:trPr>
          <w:trHeight w:val="278"/>
        </w:trPr>
        <w:tc>
          <w:tcPr>
            <w:tcW w:w="3260" w:type="dxa"/>
            <w:shd w:val="clear" w:color="auto" w:fill="D0CECE" w:themeFill="background2" w:themeFillShade="E6"/>
            <w:vAlign w:val="center"/>
          </w:tcPr>
          <w:p w:rsidR="00A27F50" w:rsidRDefault="00A27F50" w:rsidP="003D12C5">
            <w:pPr>
              <w:tabs>
                <w:tab w:val="left" w:pos="461"/>
              </w:tabs>
              <w:jc w:val="center"/>
            </w:pPr>
            <w:r w:rsidRPr="00E21CE7">
              <w:rPr>
                <w:rFonts w:eastAsia="Times New Roman"/>
                <w:b/>
                <w:bCs/>
                <w:color w:val="000000"/>
              </w:rPr>
              <w:t>Hematology/Liver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Default="00A27F50" w:rsidP="00A27F50">
            <w:pPr>
              <w:tabs>
                <w:tab w:val="left" w:pos="461"/>
              </w:tabs>
              <w:jc w:val="center"/>
            </w:pPr>
            <w:r w:rsidRPr="00663A3B">
              <w:t>Folate via RIA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BF7E61" w:rsidRDefault="00A27F50" w:rsidP="00A27F50">
            <w:pPr>
              <w:tabs>
                <w:tab w:val="left" w:pos="461"/>
              </w:tabs>
              <w:jc w:val="center"/>
            </w:pPr>
            <w:r w:rsidRPr="00BF7E61">
              <w:t>X</w:t>
            </w:r>
            <w:r>
              <w:t xml:space="preserve"> </w:t>
            </w:r>
          </w:p>
        </w:tc>
        <w:tc>
          <w:tcPr>
            <w:tcW w:w="1890" w:type="dxa"/>
            <w:vAlign w:val="center"/>
          </w:tcPr>
          <w:p w:rsidR="00A27F50" w:rsidRPr="00BF7E61" w:rsidRDefault="00A27F50" w:rsidP="00A27F50">
            <w:pPr>
              <w:tabs>
                <w:tab w:val="left" w:pos="461"/>
              </w:tabs>
              <w:jc w:val="center"/>
            </w:pPr>
            <w:r>
              <w:rPr>
                <w:rFonts w:eastAsia="Times New Roman"/>
                <w:bCs/>
                <w:color w:val="000000"/>
              </w:rPr>
              <w:t>6,166</w:t>
            </w:r>
          </w:p>
        </w:tc>
        <w:tc>
          <w:tcPr>
            <w:tcW w:w="1620" w:type="dxa"/>
            <w:vAlign w:val="center"/>
          </w:tcPr>
          <w:p w:rsidR="00A27F50" w:rsidRPr="00BF7E61" w:rsidRDefault="00A27F50" w:rsidP="00A27F50">
            <w:pPr>
              <w:tabs>
                <w:tab w:val="left" w:pos="461"/>
              </w:tabs>
              <w:jc w:val="center"/>
            </w:pPr>
            <w:r>
              <w:t>V3</w:t>
            </w:r>
          </w:p>
        </w:tc>
        <w:tc>
          <w:tcPr>
            <w:tcW w:w="2250" w:type="dxa"/>
            <w:vAlign w:val="center"/>
          </w:tcPr>
          <w:p w:rsidR="00A27F50" w:rsidRDefault="006C38E6" w:rsidP="0027133A">
            <w:pPr>
              <w:tabs>
                <w:tab w:val="left" w:pos="461"/>
              </w:tabs>
              <w:jc w:val="center"/>
            </w:pPr>
            <w:r>
              <w:t>Frail</w:t>
            </w:r>
            <w:r w:rsidR="00837970">
              <w:t>/ 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Mean corpuscular volume (MCV) (</w:t>
            </w:r>
            <w:proofErr w:type="spellStart"/>
            <w:r w:rsidRPr="00663A3B">
              <w:t>fL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Default="00A27F50" w:rsidP="00A27F50">
            <w:pPr>
              <w:tabs>
                <w:tab w:val="left" w:pos="461"/>
              </w:tabs>
              <w:jc w:val="center"/>
            </w:pPr>
            <w:r>
              <w:t>6,281</w:t>
            </w:r>
          </w:p>
        </w:tc>
        <w:tc>
          <w:tcPr>
            <w:tcW w:w="1620" w:type="dxa"/>
            <w:vAlign w:val="center"/>
          </w:tcPr>
          <w:p w:rsidR="00A27F50" w:rsidRDefault="00A27F50" w:rsidP="00A27F50">
            <w:pPr>
              <w:tabs>
                <w:tab w:val="left" w:pos="461"/>
              </w:tabs>
              <w:jc w:val="center"/>
            </w:pPr>
            <w:r>
              <w:t>V5</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Retinol via high performance liquid chromatography (µ</w:t>
            </w:r>
            <w:proofErr w:type="spellStart"/>
            <w:r w:rsidRPr="00E21CE7">
              <w:rPr>
                <w:rFonts w:eastAsia="Times New Roman"/>
                <w:color w:val="000000"/>
              </w:rPr>
              <w:t>mol</w:t>
            </w:r>
            <w:proofErr w:type="spellEnd"/>
            <w:r w:rsidRPr="00E21CE7">
              <w:rPr>
                <w:rFonts w:eastAsia="Times New Roman"/>
                <w:color w:val="000000"/>
              </w:rPr>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GPT (also known as ALT)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Default="00A27F50" w:rsidP="00A27F50">
            <w:pPr>
              <w:tabs>
                <w:tab w:val="left" w:pos="461"/>
              </w:tabs>
              <w:jc w:val="center"/>
            </w:pPr>
            <w:r>
              <w:t>5,997</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3D12C5">
            <w:pPr>
              <w:tabs>
                <w:tab w:val="left" w:pos="461"/>
              </w:tabs>
              <w:jc w:val="center"/>
            </w:pPr>
            <w:r w:rsidRPr="00E21CE7">
              <w:rPr>
                <w:rFonts w:eastAsia="Times New Roman"/>
                <w:b/>
                <w:bCs/>
                <w:color w:val="000000"/>
              </w:rPr>
              <w:t>Endocrine/Hormones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lastRenderedPageBreak/>
              <w:t>25(OH)-D (25-hydroxyvitamin D) via RIA (nmol/L)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A27F50" w:rsidP="00A27F50">
            <w:pPr>
              <w:tabs>
                <w:tab w:val="left" w:pos="461"/>
              </w:tabs>
              <w:jc w:val="center"/>
            </w:pPr>
            <w:r>
              <w:t>6,026</w:t>
            </w:r>
          </w:p>
        </w:tc>
        <w:tc>
          <w:tcPr>
            <w:tcW w:w="1620" w:type="dxa"/>
            <w:vAlign w:val="center"/>
          </w:tcPr>
          <w:p w:rsidR="00A27F50" w:rsidRDefault="00A27F50"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color w:val="000000"/>
              </w:rPr>
            </w:pPr>
            <w:r w:rsidRPr="00663A3B">
              <w:t>Free testosterone (ng/</w:t>
            </w:r>
            <w:proofErr w:type="spellStart"/>
            <w:r w:rsidRPr="00663A3B">
              <w:t>dL</w:t>
            </w:r>
            <w:proofErr w:type="spellEnd"/>
            <w:r w:rsidRPr="00663A3B">
              <w:t>), Vermeulen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(total testosterone ng/</w:t>
            </w:r>
            <w:proofErr w:type="spellStart"/>
            <w:r>
              <w:t>dL</w:t>
            </w:r>
            <w:proofErr w:type="spellEnd"/>
            <w:r>
              <w:t>)</w:t>
            </w:r>
          </w:p>
        </w:tc>
        <w:tc>
          <w:tcPr>
            <w:tcW w:w="1890" w:type="dxa"/>
            <w:vAlign w:val="center"/>
          </w:tcPr>
          <w:p w:rsidR="00A27F50" w:rsidRDefault="00A27F50" w:rsidP="00A27F50">
            <w:pPr>
              <w:tabs>
                <w:tab w:val="left" w:pos="461"/>
              </w:tabs>
              <w:jc w:val="center"/>
            </w:pPr>
            <w:r>
              <w:t>5,555</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glucose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8A6DF2" w:rsidP="00A27F50">
            <w:pPr>
              <w:tabs>
                <w:tab w:val="left" w:pos="461"/>
              </w:tabs>
              <w:jc w:val="center"/>
            </w:pPr>
            <w:r>
              <w:t>6,108</w:t>
            </w:r>
          </w:p>
        </w:tc>
        <w:tc>
          <w:tcPr>
            <w:tcW w:w="1620" w:type="dxa"/>
            <w:vAlign w:val="center"/>
          </w:tcPr>
          <w:p w:rsidR="00A27F50" w:rsidRDefault="008A6DF2"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60"/>
        </w:trPr>
        <w:tc>
          <w:tcPr>
            <w:tcW w:w="3260" w:type="dxa"/>
            <w:vAlign w:val="center"/>
          </w:tcPr>
          <w:p w:rsidR="00A27F50" w:rsidRPr="00663A3B" w:rsidRDefault="00A27F50" w:rsidP="00A27F50">
            <w:pPr>
              <w:tabs>
                <w:tab w:val="left" w:pos="461"/>
              </w:tabs>
              <w:jc w:val="center"/>
            </w:pPr>
            <w:r w:rsidRPr="00663A3B">
              <w:t>Free thyroxine, fT4 (ng/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7D1E13" w:rsidP="00A27F50">
            <w:pPr>
              <w:tabs>
                <w:tab w:val="left" w:pos="461"/>
              </w:tabs>
              <w:jc w:val="center"/>
            </w:pPr>
            <w:r>
              <w:t>6,409</w:t>
            </w:r>
          </w:p>
        </w:tc>
        <w:tc>
          <w:tcPr>
            <w:tcW w:w="1620" w:type="dxa"/>
            <w:vAlign w:val="center"/>
          </w:tcPr>
          <w:p w:rsidR="00A27F50" w:rsidRDefault="007D1E1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F37B02">
              <w:t>Parathyroid hormone, two-site immunoradiometric assay (</w:t>
            </w:r>
            <w:proofErr w:type="spellStart"/>
            <w:r w:rsidRPr="00F37B02">
              <w:t>pg</w:t>
            </w:r>
            <w:proofErr w:type="spellEnd"/>
            <w:r w:rsidRPr="00F37B02">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390639" w:rsidP="00A27F50">
            <w:pPr>
              <w:tabs>
                <w:tab w:val="left" w:pos="461"/>
              </w:tabs>
              <w:jc w:val="center"/>
            </w:pPr>
            <w:r>
              <w:t>6</w:t>
            </w:r>
            <w:r w:rsidR="00E2781F">
              <w:t>,</w:t>
            </w:r>
            <w:r>
              <w:t>054</w:t>
            </w:r>
          </w:p>
        </w:tc>
        <w:tc>
          <w:tcPr>
            <w:tcW w:w="1620" w:type="dxa"/>
            <w:vAlign w:val="center"/>
          </w:tcPr>
          <w:p w:rsidR="00A27F50" w:rsidRDefault="00390639" w:rsidP="00A27F50">
            <w:pPr>
              <w:tabs>
                <w:tab w:val="left" w:pos="461"/>
              </w:tabs>
              <w:jc w:val="center"/>
            </w:pPr>
            <w:r>
              <w:t>V2</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F37B02" w:rsidRDefault="00A27F50" w:rsidP="00A27F50">
            <w:pPr>
              <w:tabs>
                <w:tab w:val="left" w:pos="461"/>
              </w:tabs>
              <w:jc w:val="center"/>
            </w:pPr>
            <w:r w:rsidRPr="00E21CE7">
              <w:rPr>
                <w:rFonts w:eastAsia="Times New Roman"/>
                <w:b/>
                <w:bCs/>
                <w:color w:val="000000"/>
              </w:rPr>
              <w:t>Metabolomics(plasma lipids)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Fatty acid C24:0 weight (mg/L)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390639" w:rsidP="00A27F50">
            <w:pPr>
              <w:tabs>
                <w:tab w:val="left" w:pos="461"/>
              </w:tabs>
              <w:jc w:val="center"/>
            </w:pPr>
            <w:r>
              <w:t>NA</w:t>
            </w:r>
          </w:p>
        </w:tc>
        <w:tc>
          <w:tcPr>
            <w:tcW w:w="1620" w:type="dxa"/>
            <w:vAlign w:val="center"/>
          </w:tcPr>
          <w:p w:rsidR="00A27F50" w:rsidRDefault="00390639"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Pr="003A0FB4" w:rsidRDefault="00A27F50" w:rsidP="00A27F50">
            <w:pPr>
              <w:tabs>
                <w:tab w:val="left" w:pos="461"/>
              </w:tabs>
              <w:jc w:val="center"/>
            </w:pPr>
            <w:r w:rsidRPr="00663A3B">
              <w:t>Lipids: HDL cholesterol (mg/</w:t>
            </w:r>
            <w:proofErr w:type="spellStart"/>
            <w:r w:rsidRPr="00663A3B">
              <w:t>dL</w:t>
            </w:r>
            <w:proofErr w:type="spellEnd"/>
            <w:r w:rsidRPr="00663A3B">
              <w:t>)</w:t>
            </w:r>
          </w:p>
          <w:p w:rsidR="00A27F50" w:rsidRPr="00E21CE7" w:rsidRDefault="00A27F50" w:rsidP="00A27F50">
            <w:pPr>
              <w:tabs>
                <w:tab w:val="left" w:pos="461"/>
              </w:tabs>
              <w:jc w:val="center"/>
              <w:rPr>
                <w:rFonts w:eastAsia="Times New Roman"/>
                <w:color w:val="000000"/>
              </w:rPr>
            </w:pP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E2781F" w:rsidP="00A27F50">
            <w:pPr>
              <w:tabs>
                <w:tab w:val="left" w:pos="461"/>
              </w:tabs>
              <w:jc w:val="center"/>
            </w:pPr>
            <w:r>
              <w:t>6,404</w:t>
            </w:r>
          </w:p>
        </w:tc>
        <w:tc>
          <w:tcPr>
            <w:tcW w:w="1620" w:type="dxa"/>
            <w:vAlign w:val="center"/>
          </w:tcPr>
          <w:p w:rsidR="00A27F50" w:rsidRDefault="0063690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Renal/Electrolyte</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Creatine phosphokinase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636903" w:rsidP="00A27F50">
            <w:pPr>
              <w:tabs>
                <w:tab w:val="left" w:pos="461"/>
              </w:tabs>
              <w:jc w:val="center"/>
            </w:pPr>
            <w:r>
              <w:t>NA</w:t>
            </w:r>
          </w:p>
        </w:tc>
        <w:tc>
          <w:tcPr>
            <w:tcW w:w="1620" w:type="dxa"/>
            <w:vAlign w:val="center"/>
          </w:tcPr>
          <w:p w:rsidR="00A27F50" w:rsidRDefault="00636903"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E21CE7" w:rsidRDefault="00A27F50" w:rsidP="00A27F50">
            <w:pPr>
              <w:tabs>
                <w:tab w:val="left" w:pos="461"/>
              </w:tabs>
              <w:jc w:val="center"/>
              <w:rPr>
                <w:rFonts w:eastAsia="Times New Roman"/>
                <w:color w:val="000000"/>
              </w:rPr>
            </w:pPr>
            <w:r w:rsidRPr="00E21CE7">
              <w:rPr>
                <w:rFonts w:eastAsia="Times New Roman"/>
                <w:color w:val="000000"/>
              </w:rPr>
              <w:t>Creatinine clearance, 24-hr urine (mL/minute)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EC566B" w:rsidP="0027133A">
            <w:pPr>
              <w:tabs>
                <w:tab w:val="left" w:pos="461"/>
              </w:tabs>
              <w:jc w:val="center"/>
            </w:pPr>
            <w:r>
              <w:t>Prefrail</w:t>
            </w: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color w:val="000000"/>
              </w:rPr>
            </w:pPr>
            <w:r w:rsidRPr="00663A3B">
              <w:t>Urine proteins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152CC9" w:rsidP="00A27F50">
            <w:pPr>
              <w:tabs>
                <w:tab w:val="left" w:pos="461"/>
              </w:tabs>
              <w:jc w:val="center"/>
            </w:pPr>
            <w:r>
              <w:t>NA</w:t>
            </w:r>
          </w:p>
        </w:tc>
        <w:tc>
          <w:tcPr>
            <w:tcW w:w="1620" w:type="dxa"/>
            <w:vAlign w:val="center"/>
          </w:tcPr>
          <w:p w:rsidR="00A27F50" w:rsidRDefault="00152CC9" w:rsidP="00A27F50">
            <w:pPr>
              <w:tabs>
                <w:tab w:val="left" w:pos="461"/>
              </w:tabs>
              <w:jc w:val="center"/>
            </w:pPr>
            <w:r>
              <w:t>NA</w:t>
            </w:r>
          </w:p>
        </w:tc>
        <w:tc>
          <w:tcPr>
            <w:tcW w:w="2250" w:type="dxa"/>
            <w:vAlign w:val="center"/>
          </w:tcPr>
          <w:p w:rsidR="00A27F50" w:rsidRDefault="006C38E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663A3B">
              <w:t>24-hour urinary creatinine (mg/24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urea nitrogen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1618BE" w:rsidP="00A27F50">
            <w:pPr>
              <w:tabs>
                <w:tab w:val="left" w:pos="461"/>
              </w:tabs>
              <w:jc w:val="center"/>
            </w:pPr>
            <w:r>
              <w:t>6,461</w:t>
            </w:r>
          </w:p>
        </w:tc>
        <w:tc>
          <w:tcPr>
            <w:tcW w:w="1620" w:type="dxa"/>
            <w:vAlign w:val="center"/>
          </w:tcPr>
          <w:p w:rsidR="00A27F50" w:rsidRDefault="00EA54E5" w:rsidP="00A27F50">
            <w:pPr>
              <w:tabs>
                <w:tab w:val="left" w:pos="461"/>
              </w:tabs>
              <w:jc w:val="center"/>
            </w:pPr>
            <w:r>
              <w:t>V1</w:t>
            </w:r>
          </w:p>
        </w:tc>
        <w:tc>
          <w:tcPr>
            <w:tcW w:w="2250" w:type="dxa"/>
            <w:vAlign w:val="center"/>
          </w:tcPr>
          <w:p w:rsidR="00A27F50" w:rsidRDefault="0027133A"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Nutrient Biomarker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663A3B">
              <w:t>Vitamin B6 via high performance liquid chromatography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743831">
              <w:t>/ Prefrail</w:t>
            </w:r>
          </w:p>
        </w:tc>
      </w:tr>
      <w:tr w:rsidR="00A27F50" w:rsidTr="0027133A">
        <w:trPr>
          <w:trHeight w:val="818"/>
        </w:trPr>
        <w:tc>
          <w:tcPr>
            <w:tcW w:w="3260" w:type="dxa"/>
            <w:vAlign w:val="center"/>
          </w:tcPr>
          <w:p w:rsidR="00A27F50" w:rsidRPr="00663A3B" w:rsidRDefault="00A27F50" w:rsidP="00A27F50">
            <w:pPr>
              <w:tabs>
                <w:tab w:val="left" w:pos="461"/>
              </w:tabs>
              <w:jc w:val="center"/>
            </w:pPr>
            <w:r w:rsidRPr="00663A3B">
              <w:t>Vitamin E gamma tocopherol, high performance liquid chromatography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663A3B" w:rsidRDefault="00A27F50" w:rsidP="00A27F50">
            <w:pPr>
              <w:tabs>
                <w:tab w:val="left" w:pos="461"/>
              </w:tabs>
              <w:jc w:val="center"/>
            </w:pPr>
            <w:r w:rsidRPr="00F37B02">
              <w:t>Lycopene via high performance liquid chromatography (</w:t>
            </w:r>
            <w:proofErr w:type="spellStart"/>
            <w:r w:rsidRPr="00F37B02">
              <w:t>Âµmol</w:t>
            </w:r>
            <w:proofErr w:type="spellEnd"/>
            <w:r w:rsidRPr="00F37B02">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FE3684" w:rsidP="00A27F50">
            <w:pPr>
              <w:tabs>
                <w:tab w:val="left" w:pos="461"/>
              </w:tabs>
              <w:jc w:val="center"/>
            </w:pPr>
            <w:r>
              <w:t>NA</w:t>
            </w:r>
          </w:p>
        </w:tc>
        <w:tc>
          <w:tcPr>
            <w:tcW w:w="1620" w:type="dxa"/>
            <w:vAlign w:val="center"/>
          </w:tcPr>
          <w:p w:rsidR="00A27F50" w:rsidRPr="00FE3684" w:rsidRDefault="00FE3684" w:rsidP="00A27F50">
            <w:pPr>
              <w:tabs>
                <w:tab w:val="left" w:pos="461"/>
              </w:tabs>
              <w:jc w:val="center"/>
              <w:rPr>
                <w:b/>
              </w:rPr>
            </w:pPr>
            <w:r>
              <w:t>NA</w:t>
            </w:r>
          </w:p>
        </w:tc>
        <w:tc>
          <w:tcPr>
            <w:tcW w:w="2250" w:type="dxa"/>
            <w:vAlign w:val="center"/>
          </w:tcPr>
          <w:p w:rsidR="00A27F50" w:rsidRDefault="006C38E6" w:rsidP="0027133A">
            <w:pPr>
              <w:tabs>
                <w:tab w:val="left" w:pos="461"/>
              </w:tabs>
              <w:jc w:val="center"/>
            </w:pPr>
            <w:r>
              <w:t>Frail</w:t>
            </w:r>
          </w:p>
        </w:tc>
      </w:tr>
    </w:tbl>
    <w:p w:rsidR="0098419C" w:rsidRDefault="0098419C" w:rsidP="0098419C">
      <w:pPr>
        <w:rPr>
          <w:rFonts w:asciiTheme="minorHAnsi" w:hAnsiTheme="minorHAnsi" w:cstheme="minorHAnsi"/>
        </w:rPr>
      </w:pPr>
      <w:r>
        <w:rPr>
          <w:rFonts w:asciiTheme="minorHAnsi" w:hAnsiTheme="minorHAnsi" w:cstheme="minorHAnsi"/>
        </w:rPr>
        <w:t>*substitute biomarker was used because exact biomarker match was not available</w:t>
      </w:r>
      <w:r w:rsidR="00BC019E">
        <w:rPr>
          <w:rFonts w:asciiTheme="minorHAnsi" w:hAnsiTheme="minorHAnsi" w:cstheme="minorHAnsi"/>
        </w:rPr>
        <w:t>,</w:t>
      </w:r>
      <w:r w:rsidR="00742286">
        <w:rPr>
          <w:rFonts w:asciiTheme="minorHAnsi" w:hAnsiTheme="minorHAnsi" w:cstheme="minorHAnsi"/>
        </w:rPr>
        <w:t xml:space="preserve"> red note</w:t>
      </w:r>
      <w:r w:rsidR="00B95F53">
        <w:rPr>
          <w:rFonts w:asciiTheme="minorHAnsi" w:hAnsiTheme="minorHAnsi" w:cstheme="minorHAnsi"/>
        </w:rPr>
        <w:t>s</w:t>
      </w:r>
      <w:r w:rsidR="00BC019E">
        <w:rPr>
          <w:rFonts w:asciiTheme="minorHAnsi" w:hAnsiTheme="minorHAnsi" w:cstheme="minorHAnsi"/>
        </w:rPr>
        <w:t xml:space="preserve"> &gt;15% missing removed from model </w:t>
      </w:r>
    </w:p>
    <w:p w:rsidR="006B756F" w:rsidRDefault="006B756F" w:rsidP="0098419C">
      <w:pPr>
        <w:rPr>
          <w:rFonts w:asciiTheme="minorHAnsi" w:hAnsiTheme="minorHAnsi" w:cstheme="minorHAnsi"/>
        </w:rPr>
      </w:pPr>
    </w:p>
    <w:p w:rsidR="006B756F" w:rsidRDefault="006B756F" w:rsidP="0098419C">
      <w:pPr>
        <w:rPr>
          <w:rFonts w:asciiTheme="minorHAnsi" w:hAnsiTheme="minorHAnsi" w:cstheme="minorHAnsi"/>
        </w:rPr>
        <w:sectPr w:rsidR="006B756F" w:rsidSect="0098419C">
          <w:pgSz w:w="15840" w:h="12240" w:orient="landscape"/>
          <w:pgMar w:top="720" w:right="720" w:bottom="720" w:left="720" w:header="720" w:footer="720" w:gutter="0"/>
          <w:cols w:space="720"/>
          <w:docGrid w:linePitch="360"/>
        </w:sectPr>
      </w:pPr>
    </w:p>
    <w:p w:rsidR="006B756F" w:rsidRDefault="006B756F" w:rsidP="0098419C">
      <w:pPr>
        <w:rPr>
          <w:rFonts w:asciiTheme="minorHAnsi" w:hAnsiTheme="minorHAnsi" w:cstheme="minorHAnsi"/>
        </w:rPr>
      </w:pPr>
    </w:p>
    <w:p w:rsidR="006B756F" w:rsidRPr="00D9547F" w:rsidRDefault="006B756F" w:rsidP="006B756F">
      <w:pPr>
        <w:tabs>
          <w:tab w:val="left" w:pos="461"/>
        </w:tabs>
        <w:rPr>
          <w:b/>
        </w:rPr>
      </w:pPr>
      <w:r w:rsidRPr="00D9547F">
        <w:rPr>
          <w:b/>
        </w:rPr>
        <w:t xml:space="preserve">1.6 </w:t>
      </w:r>
      <w:r>
        <w:rPr>
          <w:b/>
        </w:rPr>
        <w:t>Limitations</w:t>
      </w:r>
      <w:r w:rsidRPr="00D9547F">
        <w:rPr>
          <w:b/>
        </w:rPr>
        <w:t xml:space="preserve"> </w:t>
      </w:r>
    </w:p>
    <w:p w:rsidR="006B756F" w:rsidRPr="00E94B85" w:rsidRDefault="006B756F" w:rsidP="006B756F">
      <w:pPr>
        <w:rPr>
          <w:color w:val="000000" w:themeColor="text1"/>
        </w:rPr>
      </w:pPr>
      <w:r w:rsidRPr="00934E93">
        <w:t xml:space="preserve">1. </w:t>
      </w:r>
      <w:r>
        <w:t>Several of the b</w:t>
      </w:r>
      <w:r w:rsidRPr="00E94B85">
        <w:rPr>
          <w:color w:val="000000" w:themeColor="text1"/>
        </w:rPr>
        <w:t xml:space="preserve">iomarker measurements come from different time points than the outcome measure of frailty at V5. The model </w:t>
      </w:r>
      <w:r w:rsidR="00B95F53">
        <w:rPr>
          <w:color w:val="000000" w:themeColor="text1"/>
        </w:rPr>
        <w:t>is</w:t>
      </w:r>
      <w:r w:rsidRPr="00E94B85">
        <w:rPr>
          <w:color w:val="000000" w:themeColor="text1"/>
        </w:rPr>
        <w:t xml:space="preserve"> built with data as close to the outcome diagnosis (V5 Frailty) as possible</w:t>
      </w:r>
      <w:r w:rsidR="00B95F53">
        <w:rPr>
          <w:color w:val="000000" w:themeColor="text1"/>
        </w:rPr>
        <w:t>. Additionally,</w:t>
      </w:r>
      <w:r w:rsidRPr="00E94B85">
        <w:rPr>
          <w:color w:val="000000" w:themeColor="text1"/>
        </w:rPr>
        <w:t xml:space="preserve"> </w:t>
      </w:r>
      <w:r w:rsidR="00B95F53">
        <w:rPr>
          <w:color w:val="000000" w:themeColor="text1"/>
        </w:rPr>
        <w:t>we</w:t>
      </w:r>
      <w:r w:rsidRPr="00E94B85">
        <w:rPr>
          <w:color w:val="000000" w:themeColor="text1"/>
        </w:rPr>
        <w:t xml:space="preserve"> examine model parameters and AUC adding variables from visits 1 through </w:t>
      </w:r>
      <w:r w:rsidR="00B95F53">
        <w:rPr>
          <w:color w:val="000000" w:themeColor="text1"/>
        </w:rPr>
        <w:t>5</w:t>
      </w:r>
      <w:r w:rsidRPr="00E94B85">
        <w:rPr>
          <w:color w:val="000000" w:themeColor="text1"/>
        </w:rPr>
        <w:t xml:space="preserve">. As variables are added, parameters (model fit and AUC) </w:t>
      </w:r>
      <w:r w:rsidR="00B95F53">
        <w:rPr>
          <w:color w:val="000000" w:themeColor="text1"/>
        </w:rPr>
        <w:t xml:space="preserve">was </w:t>
      </w:r>
      <w:r w:rsidRPr="00E94B85">
        <w:rPr>
          <w:color w:val="000000" w:themeColor="text1"/>
        </w:rPr>
        <w:t xml:space="preserve">examined for best fit. Initial rebuild in InCHIANTI with the predictors </w:t>
      </w:r>
      <w:r w:rsidR="00B95F53">
        <w:rPr>
          <w:color w:val="000000" w:themeColor="text1"/>
        </w:rPr>
        <w:t>from the</w:t>
      </w:r>
      <w:r w:rsidRPr="00E94B85">
        <w:rPr>
          <w:color w:val="000000" w:themeColor="text1"/>
        </w:rPr>
        <w:t xml:space="preserve"> ARIC </w:t>
      </w:r>
      <w:r w:rsidR="00B95F53">
        <w:rPr>
          <w:color w:val="000000" w:themeColor="text1"/>
        </w:rPr>
        <w:t>model</w:t>
      </w:r>
      <w:r w:rsidRPr="00E94B85">
        <w:rPr>
          <w:color w:val="000000" w:themeColor="text1"/>
        </w:rPr>
        <w:t xml:space="preserve"> maintained an AUC of </w:t>
      </w:r>
      <w:r w:rsidR="00B95F53">
        <w:rPr>
          <w:color w:val="000000" w:themeColor="text1"/>
        </w:rPr>
        <w:t>.897</w:t>
      </w:r>
      <w:r w:rsidRPr="00E94B85">
        <w:rPr>
          <w:color w:val="000000" w:themeColor="text1"/>
        </w:rPr>
        <w:t xml:space="preserve">. Although we cannot completely control for the varying temporal differences between some predictors and the frailty outcome, we </w:t>
      </w:r>
      <w:r w:rsidR="00B95F53">
        <w:rPr>
          <w:color w:val="000000" w:themeColor="text1"/>
        </w:rPr>
        <w:t>find the</w:t>
      </w:r>
      <w:r w:rsidRPr="00E94B85">
        <w:rPr>
          <w:color w:val="000000" w:themeColor="text1"/>
        </w:rPr>
        <w:t xml:space="preserve"> findings </w:t>
      </w:r>
      <w:r w:rsidR="00B95F53">
        <w:rPr>
          <w:color w:val="000000" w:themeColor="text1"/>
        </w:rPr>
        <w:t>to</w:t>
      </w:r>
      <w:r w:rsidRPr="00E94B85">
        <w:rPr>
          <w:color w:val="000000" w:themeColor="text1"/>
        </w:rPr>
        <w:t xml:space="preserve"> be informative and useful for future funding opportunities. </w:t>
      </w:r>
    </w:p>
    <w:p w:rsidR="00B95F53" w:rsidRDefault="00B95F53" w:rsidP="006B756F"/>
    <w:p w:rsidR="006B756F" w:rsidRPr="001F3A41" w:rsidRDefault="006B756F" w:rsidP="006B756F">
      <w:r w:rsidRPr="001F3A41">
        <w:t xml:space="preserve">2. Frailty measure differs slightly between databases. Often there are variations in how frailty is measured between longitudinal studies which may affect the AUC and the ability of the InCHIANTI model to “fit” or accurately predicted frailty in the ARIC data.  However, frailty in ARIC </w:t>
      </w:r>
      <w:r>
        <w:t xml:space="preserve">was based on the same frailty phenotype that is used in InCHIANTI and </w:t>
      </w:r>
      <w:r w:rsidRPr="001F3A41">
        <w:t>has been validated</w:t>
      </w:r>
      <w:r w:rsidR="00B95F53">
        <w:t>.</w:t>
      </w:r>
    </w:p>
    <w:p w:rsidR="00B95F53" w:rsidRDefault="00B95F53" w:rsidP="006B756F">
      <w:pPr>
        <w:tabs>
          <w:tab w:val="left" w:pos="461"/>
        </w:tabs>
      </w:pPr>
    </w:p>
    <w:p w:rsidR="006B756F" w:rsidRPr="001F3A41" w:rsidRDefault="006B756F" w:rsidP="006B756F">
      <w:pPr>
        <w:tabs>
          <w:tab w:val="left" w:pos="461"/>
        </w:tabs>
      </w:pPr>
      <w:r w:rsidRPr="001F3A41">
        <w:t>3. Demographics and ethic/racial differences between databases. The InCHIANTI databases is a geographically homogeneous population with a large white/causation European population. We consider it a strength rather than a limitation that ARIC and Health ABC are more diverse populations and will allow external validation to be conducted in different cohorts. Models explore</w:t>
      </w:r>
      <w:r w:rsidR="0065664D">
        <w:t>d</w:t>
      </w:r>
      <w:r w:rsidRPr="001F3A41">
        <w:t xml:space="preserve"> ethic/racial differences in the model fit as the model </w:t>
      </w:r>
      <w:r w:rsidR="00E24F0C">
        <w:t>was</w:t>
      </w:r>
      <w:r w:rsidRPr="001F3A41">
        <w:t xml:space="preserve"> being built. </w:t>
      </w:r>
    </w:p>
    <w:p w:rsidR="006B756F" w:rsidRPr="00C63436" w:rsidRDefault="006B756F" w:rsidP="0098419C">
      <w:pPr>
        <w:rPr>
          <w:rFonts w:asciiTheme="minorHAnsi" w:hAnsiTheme="minorHAnsi" w:cstheme="minorHAnsi"/>
        </w:rPr>
      </w:pPr>
    </w:p>
    <w:p w:rsidR="0098419C" w:rsidRPr="00C63436" w:rsidRDefault="0098419C" w:rsidP="0098419C">
      <w:pPr>
        <w:rPr>
          <w:rFonts w:asciiTheme="minorHAnsi" w:hAnsiTheme="minorHAnsi" w:cstheme="minorHAnsi"/>
        </w:rPr>
      </w:pPr>
    </w:p>
    <w:sectPr w:rsidR="0098419C" w:rsidRPr="00C63436" w:rsidSect="006B75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C2"/>
    <w:rsid w:val="000472F3"/>
    <w:rsid w:val="000E13F8"/>
    <w:rsid w:val="000F63E5"/>
    <w:rsid w:val="00152CC9"/>
    <w:rsid w:val="001618BE"/>
    <w:rsid w:val="00186A01"/>
    <w:rsid w:val="00227C98"/>
    <w:rsid w:val="0027133A"/>
    <w:rsid w:val="002A78BD"/>
    <w:rsid w:val="002F5831"/>
    <w:rsid w:val="00390639"/>
    <w:rsid w:val="003D12C5"/>
    <w:rsid w:val="00422DD7"/>
    <w:rsid w:val="004264AC"/>
    <w:rsid w:val="00467F35"/>
    <w:rsid w:val="004844F8"/>
    <w:rsid w:val="004B01A4"/>
    <w:rsid w:val="004E2255"/>
    <w:rsid w:val="004F03FD"/>
    <w:rsid w:val="00514415"/>
    <w:rsid w:val="0056183A"/>
    <w:rsid w:val="005C1BA1"/>
    <w:rsid w:val="005F34B3"/>
    <w:rsid w:val="00602EEA"/>
    <w:rsid w:val="006159AB"/>
    <w:rsid w:val="00636903"/>
    <w:rsid w:val="0065664D"/>
    <w:rsid w:val="00682CDF"/>
    <w:rsid w:val="0068619F"/>
    <w:rsid w:val="006B756F"/>
    <w:rsid w:val="006C38E6"/>
    <w:rsid w:val="006F66CF"/>
    <w:rsid w:val="00725EED"/>
    <w:rsid w:val="007311A9"/>
    <w:rsid w:val="007414B9"/>
    <w:rsid w:val="00742286"/>
    <w:rsid w:val="00743831"/>
    <w:rsid w:val="00763E7C"/>
    <w:rsid w:val="0077337C"/>
    <w:rsid w:val="007A65F7"/>
    <w:rsid w:val="007D1E13"/>
    <w:rsid w:val="008234C2"/>
    <w:rsid w:val="00824B9C"/>
    <w:rsid w:val="008345AA"/>
    <w:rsid w:val="00837970"/>
    <w:rsid w:val="008A6DF2"/>
    <w:rsid w:val="00906488"/>
    <w:rsid w:val="00926527"/>
    <w:rsid w:val="00942A6A"/>
    <w:rsid w:val="0098419C"/>
    <w:rsid w:val="009B0F4F"/>
    <w:rsid w:val="00A154D7"/>
    <w:rsid w:val="00A156F6"/>
    <w:rsid w:val="00A27F50"/>
    <w:rsid w:val="00A5539F"/>
    <w:rsid w:val="00A600C1"/>
    <w:rsid w:val="00A60D15"/>
    <w:rsid w:val="00AF61F8"/>
    <w:rsid w:val="00B179B8"/>
    <w:rsid w:val="00B30888"/>
    <w:rsid w:val="00B314CC"/>
    <w:rsid w:val="00B95F53"/>
    <w:rsid w:val="00BC019E"/>
    <w:rsid w:val="00C52186"/>
    <w:rsid w:val="00CA55DB"/>
    <w:rsid w:val="00D06EDA"/>
    <w:rsid w:val="00D639B4"/>
    <w:rsid w:val="00DB1439"/>
    <w:rsid w:val="00E21069"/>
    <w:rsid w:val="00E24F0C"/>
    <w:rsid w:val="00E2781F"/>
    <w:rsid w:val="00E44137"/>
    <w:rsid w:val="00EA54E5"/>
    <w:rsid w:val="00EB7A82"/>
    <w:rsid w:val="00EC566B"/>
    <w:rsid w:val="00EE50D7"/>
    <w:rsid w:val="00EF2EB8"/>
    <w:rsid w:val="00FA2564"/>
    <w:rsid w:val="00FB4773"/>
    <w:rsid w:val="00FE3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90AA58-497E-1448-BA70-D548470E4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19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41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98419C"/>
    <w:rPr>
      <w:vertAlign w:val="superscript"/>
    </w:rPr>
  </w:style>
  <w:style w:type="character" w:customStyle="1" w:styleId="apple-converted-space">
    <w:name w:val="apple-converted-space"/>
    <w:basedOn w:val="DefaultParagraphFont"/>
    <w:rsid w:val="00984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885A4-F59B-5743-8C53-4A642E30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4745</Words>
  <Characters>27051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2019-09-11T17:01:00Z</dcterms:created>
  <dcterms:modified xsi:type="dcterms:W3CDTF">2019-09-12T02:37:00Z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ba04e6b8-f80e-31a4-8420-8c7153dabbb9</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