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41.png" ContentType="image/png"/>
  <Override PartName="/word/media/rId49.png" ContentType="image/png"/>
  <Override PartName="/word/media/rId281.png" ContentType="image/png"/>
  <Override PartName="/word/media/rId351.png" ContentType="image/png"/>
  <Override PartName="/word/media/rId347.png" ContentType="image/png"/>
  <Override PartName="/word/media/rId331.png" ContentType="image/png"/>
  <Override PartName="/word/media/rId335.png" ContentType="image/png"/>
  <Override PartName="/word/media/rId343.png" ContentType="image/png"/>
  <Override PartName="/word/media/rId327.png" ContentType="image/png"/>
  <Override PartName="/word/media/rId339.png" ContentType="image/png"/>
  <Override PartName="/word/media/rId26.png" ContentType="image/png"/>
  <Override PartName="/word/media/rId315.png" ContentType="image/png"/>
  <Override PartName="/word/media/rId297.png" ContentType="image/png"/>
  <Override PartName="/word/media/rId95.png" ContentType="image/png"/>
  <Override PartName="/word/media/rId102.png" ContentType="image/png"/>
  <Override PartName="/word/media/rId285.png" ContentType="image/png"/>
  <Override PartName="/word/media/rId275.png" ContentType="image/png"/>
  <Override PartName="/word/media/rId291.png" ContentType="image/png"/>
  <Override PartName="/word/media/rId88.png" ContentType="image/png"/>
  <Override PartName="/word/media/rId74.png" ContentType="image/png"/>
  <Override PartName="/word/media/rId82.png" ContentType="image/png"/>
  <Override PartName="/word/media/rId66.png" ContentType="image/png"/>
  <Override PartName="/word/media/rId117.png" ContentType="image/png"/>
  <Override PartName="/word/media/rId321.png" ContentType="image/png"/>
  <Override PartName="/word/media/rId303.png" ContentType="image/png"/>
  <Override PartName="/word/media/rId110.png" ContentType="image/png"/>
  <Override PartName="/word/media/rId3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t xml:space="preserve">Supplementary Materials</w:t>
      </w:r>
    </w:p>
    <w:bookmarkStart w:id="273" w:name="supplementary-results"/>
    <w:p>
      <w:pPr>
        <w:pStyle w:val="Heading3"/>
      </w:pPr>
      <w:r>
        <w:t xml:space="preserve">Supplementary Results</w:t>
      </w:r>
    </w:p>
    <w:bookmarkStart w:id="269" w:name="Xfd6ac5d801bda4d12c05c1dd340637369fe01d5"/>
    <w:p>
      <w:pPr>
        <w:pStyle w:val="Heading4"/>
      </w:pPr>
      <w:r>
        <w:t xml:space="preserve">Congenital phenotypes are associated with foetal cell types</w:t>
      </w:r>
    </w:p>
    <w:p>
      <w:pPr>
        <w:pStyle w:val="FirstParagraph"/>
      </w:pPr>
      <w:r>
        <w:t xml:space="preserve">We sought to test whether some cell types tend to show strong differences in their phenotype associations between their foetal and adult forms.</w:t>
      </w:r>
      <w:r>
        <w:t xml:space="preserve"> </w:t>
      </w:r>
      <w:r>
        <w:t xml:space="preserve">To do this, we performed an analogous enrichment procedure as with the phenotypes, except using Cell Ontology terms and the Cell Ontology graph.</w:t>
      </w:r>
      <w:r>
        <w:t xml:space="preserve"> </w:t>
      </w:r>
      <w:r>
        <w:t xml:space="preserve">This analysis identified the cell type category connective tissue cell (</w:t>
      </w:r>
      <m:oMath>
        <m:r>
          <m:t>p</m:t>
        </m:r>
        <m:r>
          <m:rPr>
            <m:sty m:val="p"/>
          </m:rPr>
          <m:t>=</m:t>
        </m:r>
      </m:oMath>
      <m:oMath>
        <m:r>
          <m:t>1.8</m:t>
        </m:r>
        <m:r>
          <m:rPr>
            <m:sty m:val="p"/>
          </m:rPr>
          <m:t>×</m:t>
        </m:r>
        <m:sSup>
          <m:e>
            <m:r>
              <m:t>10</m:t>
            </m:r>
          </m:e>
          <m:sup>
            <m:r>
              <m:rPr>
                <m:sty m:val="p"/>
              </m:rPr>
              <m:t>−</m:t>
            </m:r>
            <m:r>
              <m:t>3</m:t>
            </m:r>
          </m:sup>
        </m:sSup>
      </m:oMath>
      <w:r>
        <w:t xml:space="preserve">,</w:t>
      </w:r>
      <w:r>
        <w:t xml:space="preserve"> </w:t>
      </w:r>
      <m:oMath>
        <m:r>
          <m:t>l</m:t>
        </m:r>
        <m:r>
          <m:t>o</m:t>
        </m:r>
        <m:sSub>
          <m:e>
            <m:r>
              <m:t>g</m:t>
            </m:r>
          </m:e>
          <m:sub>
            <m:r>
              <m:t>2</m:t>
            </m:r>
          </m:sub>
        </m:sSub>
        <m:d>
          <m:dPr>
            <m:begChr m:val="("/>
            <m:sepChr m:val=""/>
            <m:endChr m:val=")"/>
            <m:grow/>
          </m:dPr>
          <m:e>
            <m:r>
              <m:rPr>
                <m:nor/>
                <m:sty m:val="p"/>
              </m:rPr>
              <m:t>fold-change</m:t>
            </m:r>
          </m:e>
        </m:d>
      </m:oMath>
      <w:r>
        <w:t xml:space="preserve">=</w:t>
      </w:r>
      <m:oMath>
        <m:r>
          <m:t>3.2</m:t>
        </m:r>
      </m:oMath>
      <w:r>
        <w:t xml:space="preserve">) as the most foetal-biased cell type.</w:t>
      </w:r>
      <w:r>
        <w:t xml:space="preserve"> </w:t>
      </w:r>
      <w:r>
        <w:t xml:space="preserve">No cell type categories were significantly enriched for the most adult-biased cell types.</w:t>
      </w:r>
      <w:r>
        <w:t xml:space="preserve"> </w:t>
      </w:r>
      <w:r>
        <w:t xml:space="preserve">This is likely due to the fact that cell types can be disrupted at different stages of life, resulting in different phenotypes.</w:t>
      </w:r>
      <w:r>
        <w:t xml:space="preserve"> </w:t>
      </w:r>
      <w:r>
        <w:t xml:space="preserve">Thus the same cell types may be involved in both the most foetal-biased and adult-biased phenotypes.</w:t>
      </w:r>
    </w:p>
    <w:bookmarkEnd w:id="269"/>
    <w:bookmarkStart w:id="272" w:name="selected-example-targets-1"/>
    <w:p>
      <w:pPr>
        <w:pStyle w:val="Heading4"/>
      </w:pPr>
      <w:r>
        <w:t xml:space="preserve">Selected example targets</w:t>
      </w:r>
    </w:p>
    <w:p>
      <w:pPr>
        <w:pStyle w:val="FirstParagraph"/>
      </w:pPr>
      <w:r>
        <w:t xml:space="preserve">From our prioritised targets, we selected the following four sets of phenotypes or diseases as examples:</w:t>
      </w:r>
      <w:r>
        <w:t xml:space="preserve"> </w:t>
      </w:r>
      <w:r>
        <w:t xml:space="preserve">‘GM2-ganglioside accumulation’</w:t>
      </w:r>
      <w:r>
        <w:t xml:space="preserve">,</w:t>
      </w:r>
      <w:r>
        <w:t xml:space="preserve"> </w:t>
      </w:r>
      <w:r>
        <w:t xml:space="preserve">‘Spinocerebellar atrophy’</w:t>
      </w:r>
      <w:r>
        <w:t xml:space="preserve">,</w:t>
      </w:r>
      <w:r>
        <w:t xml:space="preserve"> </w:t>
      </w:r>
      <w:r>
        <w:t xml:space="preserve">‘Neuronal loss in central nervous system’</w:t>
      </w:r>
      <w:r>
        <w:t xml:space="preserve">.</w:t>
      </w:r>
      <w:r>
        <w:t xml:space="preserve"> </w:t>
      </w:r>
      <w:r>
        <w:t xml:space="preserve">Only phenotypes with a GPT severity score greater than</w:t>
      </w:r>
      <w:r>
        <w:t xml:space="preserve"> </w:t>
      </w:r>
      <m:oMath>
        <m:r>
          <m:t>15</m:t>
        </m:r>
      </m:oMath>
      <w:r>
        <w:t xml:space="preserve"> </w:t>
      </w:r>
      <w:r>
        <w:t xml:space="preserve">were considered to avoid overplotting and to focus on the more clinically relevant phenotypes</w:t>
      </w:r>
      <w:r>
        <w:t xml:space="preserve"> </w:t>
      </w:r>
      <w:hyperlink w:anchor="fig-therapy-examples">
        <w:r>
          <w:rPr>
            <w:rStyle w:val="Hyperlink"/>
          </w:rPr>
          <w:t xml:space="preserve">Fig. 9</w:t>
        </w:r>
      </w:hyperlink>
      <w:r>
        <w:t xml:space="preserve">a-h.</w:t>
      </w:r>
      <w:r>
        <w:t xml:space="preserve"> </w:t>
      </w:r>
      <w:r>
        <w:t xml:space="preserve">These examples were then selected partly on the basis of severity rankings, and partly for their relatively smaller, simpler networks than lent themselves to compact visualisations.</w:t>
      </w:r>
    </w:p>
    <w:p>
      <w:pPr>
        <w:pStyle w:val="BodyText"/>
      </w:pPr>
      <w:r>
        <w:t xml:space="preserve">Tay-Sachs disease (TSD) is a devastating hereditary condition in which children are born appearing healthy, which gradually degrades leading to death after 3-5 years.</w:t>
      </w:r>
      <w:r>
        <w:t xml:space="preserve"> </w:t>
      </w:r>
      <w:r>
        <w:t xml:space="preserve">The underlying cause is the toxic accumulation of gangliosides in the nervous system due to a loss of the enzyme produced by</w:t>
      </w:r>
      <w:r>
        <w:t xml:space="preserve"> </w:t>
      </w:r>
      <w:r>
        <w:rPr>
          <w:i/>
          <w:iCs/>
        </w:rPr>
        <w:t xml:space="preserve">HEXA</w:t>
      </w:r>
      <w:r>
        <w:t xml:space="preserve">.</w:t>
      </w:r>
      <w:r>
        <w:t xml:space="preserve"> </w:t>
      </w:r>
      <w:r>
        <w:t xml:space="preserve">While this could in theory be corrected with gene editing technologies, there remain some outstanding challenges.</w:t>
      </w:r>
      <w:r>
        <w:t xml:space="preserve"> </w:t>
      </w:r>
      <w:r>
        <w:t xml:space="preserve">One of which is identifying which cell types should be targeted to ensure the most effective treatments.</w:t>
      </w:r>
      <w:r>
        <w:t xml:space="preserve"> </w:t>
      </w:r>
      <w:r>
        <w:t xml:space="preserve">Here we identified alternatively activated macrophages as the cell type most strongly associated with</w:t>
      </w:r>
      <w:r>
        <w:t xml:space="preserve"> </w:t>
      </w:r>
      <w:r>
        <w:t xml:space="preserve">‘GM2-ganglioside accumulation’</w:t>
      </w:r>
      <w:r>
        <w:t xml:space="preserve"> </w:t>
      </w:r>
      <w:hyperlink w:anchor="fig-therapy-examples">
        <w:r>
          <w:rPr>
            <w:rStyle w:val="Hyperlink"/>
          </w:rPr>
          <w:t xml:space="preserve">Fig. 9</w:t>
        </w:r>
      </w:hyperlink>
      <w:r>
        <w:t xml:space="preserve">i.</w:t>
      </w:r>
      <w:r>
        <w:t xml:space="preserve"> </w:t>
      </w:r>
      <w:r>
        <w:t xml:space="preserve">The role of aberrant macrophage activity in the regulation of ganglioside levels is supported by observation that gangliosides accumulate within macrophages in TSD</w:t>
      </w:r>
      <w:r>
        <w:rPr>
          <w:vertAlign w:val="superscript"/>
        </w:rPr>
        <w:t xml:space="preserve">53</w:t>
      </w:r>
      <w:r>
        <w:t xml:space="preserve">, as well as experimental evidence in rodent models</w:t>
      </w:r>
      <w:r>
        <w:rPr>
          <w:vertAlign w:val="superscript"/>
        </w:rPr>
        <w:t xml:space="preserve">54–56</w:t>
      </w:r>
      <w:r>
        <w:t xml:space="preserve">.</w:t>
      </w:r>
      <w:r>
        <w:t xml:space="preserve"> </w:t>
      </w:r>
      <w:r>
        <w:t xml:space="preserve">Our results not only corroborate these findings, but propose macrophages as the primary causal cell type in TSD, making it the most promising cell type to target in therapies.</w:t>
      </w:r>
    </w:p>
    <w:p>
      <w:pPr>
        <w:pStyle w:val="BodyText"/>
      </w:pPr>
      <w:r>
        <w:t xml:space="preserve">Another challenge in TSD is early detection and diagnosis, before irreversible damage has occurred.</w:t>
      </w:r>
      <w:r>
        <w:t xml:space="preserve"> </w:t>
      </w:r>
      <w:r>
        <w:t xml:space="preserve">Our pipeline implicated extravillous trophoblasts of the placenta in</w:t>
      </w:r>
      <w:r>
        <w:t xml:space="preserve"> </w:t>
      </w:r>
      <w:r>
        <w:t xml:space="preserve">‘GM2-ganglioside accumulation’</w:t>
      </w:r>
      <w:r>
        <w:t xml:space="preserve">.</w:t>
      </w:r>
      <w:r>
        <w:t xml:space="preserve"> </w:t>
      </w:r>
      <w:r>
        <w:t xml:space="preserve">While not necessarily a target for gene therapy (as the child is detached from the placenta after birth), checking these cells</w:t>
      </w:r>
      <w:r>
        <w:t xml:space="preserve"> </w:t>
      </w:r>
      <w:r>
        <w:rPr>
          <w:i/>
          <w:iCs/>
        </w:rPr>
        <w:t xml:space="preserve">in utero</w:t>
      </w:r>
      <w:r>
        <w:t xml:space="preserve"> </w:t>
      </w:r>
      <w:r>
        <w:t xml:space="preserve">for an absence of</w:t>
      </w:r>
      <w:r>
        <w:t xml:space="preserve"> </w:t>
      </w:r>
      <w:r>
        <w:rPr>
          <w:i/>
          <w:iCs/>
        </w:rPr>
        <w:t xml:space="preserve">HEXA</w:t>
      </w:r>
      <w:r>
        <w:t xml:space="preserve"> </w:t>
      </w:r>
      <w:r>
        <w:t xml:space="preserve">may serve as a viable biomarker as these cells normally express the gene at high levels.</w:t>
      </w:r>
      <w:r>
        <w:t xml:space="preserve"> </w:t>
      </w:r>
      <w:r>
        <w:t xml:space="preserve">Early detection of TSD may lengthen the window of opportunity for therapeutic intervention</w:t>
      </w:r>
      <w:r>
        <w:rPr>
          <w:vertAlign w:val="superscript"/>
        </w:rPr>
        <w:t xml:space="preserve">81</w:t>
      </w:r>
      <w:r>
        <w:t xml:space="preserve">, especially when genetic sequencing is not available or variants of unknown significance are found within</w:t>
      </w:r>
      <w:r>
        <w:t xml:space="preserve"> </w:t>
      </w:r>
      <w:r>
        <w:rPr>
          <w:i/>
          <w:iCs/>
        </w:rPr>
        <w:t xml:space="preserve">HEXA</w:t>
      </w:r>
      <w:r>
        <w:rPr>
          <w:vertAlign w:val="superscript"/>
        </w:rPr>
        <w:t xml:space="preserve">82</w:t>
      </w:r>
      <w:r>
        <w:t xml:space="preserve">.</w:t>
      </w:r>
    </w:p>
    <w:p>
      <w:pPr>
        <w:pStyle w:val="BodyText"/>
      </w:pPr>
      <w:r>
        <w:t xml:space="preserve">Spinocerebellar atrophy is a debilitating and lethal phenotype that occurs in diseases such as Spinocerebellar ataxia and Boucher-Neuhäuser syndrome.</w:t>
      </w:r>
      <w:r>
        <w:t xml:space="preserve"> </w:t>
      </w:r>
      <w:r>
        <w:t xml:space="preserve">These diseases are characterised by progressive degeneration of the cerebellum and spinal cord, leading to severe motor and cognitive impairments.</w:t>
      </w:r>
      <w:r>
        <w:t xml:space="preserve"> </w:t>
      </w:r>
      <w:r>
        <w:t xml:space="preserve">Our pipeline identified M2 macrophages (labeled as the closest CL term</w:t>
      </w:r>
      <w:r>
        <w:t xml:space="preserve"> </w:t>
      </w:r>
      <w:r>
        <w:t xml:space="preserve">‘Alternatively activated macrophages’</w:t>
      </w:r>
      <w:r>
        <w:t xml:space="preserve"> </w:t>
      </w:r>
      <w:r>
        <w:t xml:space="preserve">in</w:t>
      </w:r>
      <w:r>
        <w:t xml:space="preserve"> </w:t>
      </w:r>
      <w:hyperlink w:anchor="fig-therapy-examples">
        <w:r>
          <w:rPr>
            <w:rStyle w:val="Hyperlink"/>
          </w:rPr>
          <w:t xml:space="preserve">Fig. 9</w:t>
        </w:r>
      </w:hyperlink>
      <w:r>
        <w:t xml:space="preserve">j) as the only causal cell type associated with</w:t>
      </w:r>
      <w:r>
        <w:t xml:space="preserve"> </w:t>
      </w:r>
      <w:r>
        <w:t xml:space="preserve">‘Spinocerebellar atrophy’</w:t>
      </w:r>
      <w:r>
        <w:t xml:space="preserve">.</w:t>
      </w:r>
      <w:r>
        <w:t xml:space="preserve"> </w:t>
      </w:r>
      <w:r>
        <w:t xml:space="preserve">This strongly suggests that degeneration of cerebellar Purkinje cells are in fact downstream consequences of macrophage dysfunction, rather than being the primary cause themselves.</w:t>
      </w:r>
      <w:r>
        <w:t xml:space="preserve"> </w:t>
      </w:r>
      <w:r>
        <w:t xml:space="preserve">This is consistent with the known role of macrophages, especially microglia, in neuroinflammation and other neurodegenerative conditions such as Alzheimer’s and Parkinson’s disease</w:t>
      </w:r>
      <w:r>
        <w:rPr>
          <w:vertAlign w:val="superscript"/>
        </w:rPr>
        <w:t xml:space="preserve">57–59</w:t>
      </w:r>
      <w:r>
        <w:t xml:space="preserve">.</w:t>
      </w:r>
      <w:r>
        <w:t xml:space="preserve"> </w:t>
      </w:r>
      <w:r>
        <w:t xml:space="preserve">While experimental and postmortem observational studies have implicated microglia in spinocerebellar atrophy previously</w:t>
      </w:r>
      <w:r>
        <w:rPr>
          <w:vertAlign w:val="superscript"/>
        </w:rPr>
        <w:t xml:space="preserve">57</w:t>
      </w:r>
      <w:r>
        <w:t xml:space="preserve">, our results provide a statistically-supported and unbiased genetic link between known risk genes and this cell type.</w:t>
      </w:r>
      <w:r>
        <w:t xml:space="preserve"> </w:t>
      </w:r>
      <w:r>
        <w:t xml:space="preserve">Therefore, targeting M2 macrophages in the treatment of spinocerebellar atrophy may represent a promising therapeutic strategy.</w:t>
      </w:r>
      <w:r>
        <w:t xml:space="preserve"> </w:t>
      </w:r>
      <w:r>
        <w:t xml:space="preserve">This is aided by the fact that there are mouse models that perturb the ortholog of human spinocerebellar atrophy risk genes (e.g. </w:t>
      </w:r>
      <w:hyperlink r:id="rId270">
        <w:r>
          <w:rPr>
            <w:rStyle w:val="Hyperlink"/>
            <w:i/>
            <w:iCs/>
          </w:rPr>
          <w:t xml:space="preserve">Atxn1</w:t>
        </w:r>
      </w:hyperlink>
      <w:r>
        <w:t xml:space="preserve">,</w:t>
      </w:r>
      <w:r>
        <w:t xml:space="preserve"> </w:t>
      </w:r>
      <w:hyperlink r:id="rId271">
        <w:r>
          <w:rPr>
            <w:rStyle w:val="Hyperlink"/>
            <w:i/>
            <w:iCs/>
          </w:rPr>
          <w:t xml:space="preserve">Pnpla6</w:t>
        </w:r>
      </w:hyperlink>
      <w:r>
        <w:t xml:space="preserve">) and reliably recapitulate the effects of this disease at the cellular (e.g. loss of Purkinje cells), morphological (e.g. atrophy of the cerebellum, spinal cord, and muscles), and functional (e.g. ataxia) levels.</w:t>
      </w:r>
    </w:p>
    <w:p>
      <w:pPr>
        <w:pStyle w:val="BodyText"/>
      </w:pPr>
      <w:r>
        <w:t xml:space="preserve">Next, we investigated the phenotype</w:t>
      </w:r>
      <w:r>
        <w:t xml:space="preserve"> </w:t>
      </w:r>
      <w:r>
        <w:t xml:space="preserve">‘Neuronal loss in central nervous system’</w:t>
      </w:r>
      <w:r>
        <w:t xml:space="preserve">.</w:t>
      </w:r>
      <w:r>
        <w:t xml:space="preserve"> </w:t>
      </w:r>
      <w:r>
        <w:t xml:space="preserve">Despite the fact that this is a fairly broad phenotype, we found that it was only significantly associated with 3 cell types (alternatively activated macrophage, macrophage, epithelial cell), specifically M2 macrophages and sinusoidal endothelial cells</w:t>
      </w:r>
      <w:r>
        <w:t xml:space="preserve"> </w:t>
      </w:r>
      <w:hyperlink w:anchor="fig-therapy-examples">
        <w:r>
          <w:rPr>
            <w:rStyle w:val="Hyperlink"/>
          </w:rPr>
          <w:t xml:space="preserve">Fig. 9</w:t>
        </w:r>
      </w:hyperlink>
      <w:r>
        <w:t xml:space="preserve">k.</w:t>
      </w:r>
    </w:p>
    <w:p>
      <w:pPr>
        <w:pStyle w:val="BodyText"/>
      </w:pPr>
      <w:r>
        <w:t xml:space="preserve">Skeletal dysplasia is a heterogeneous group of over 450 disorders that affect the growth and development of bone and cartilage.</w:t>
      </w:r>
      <w:r>
        <w:t xml:space="preserve"> </w:t>
      </w:r>
      <w:r>
        <w:t xml:space="preserve">This phenotype can be lethal when deficient bone growth leads to the constriction of vital organs such as the lungs.</w:t>
      </w:r>
      <w:r>
        <w:t xml:space="preserve"> </w:t>
      </w:r>
      <w:r>
        <w:t xml:space="preserve">Even after surgical interventions, these complications continue to arise as the child develops.</w:t>
      </w:r>
      <w:r>
        <w:t xml:space="preserve"> </w:t>
      </w:r>
      <w:r>
        <w:t xml:space="preserve">Pharmacological interventions to treat this condition have largely been ineffective.</w:t>
      </w:r>
      <w:r>
        <w:t xml:space="preserve"> </w:t>
      </w:r>
      <w:r>
        <w:t xml:space="preserve">While there are various cell types involved in skeletal system development, our pipeline nominated chondrocytes as the causal cell type underlying the lethal form of this condition (</w:t>
      </w:r>
      <w:hyperlink w:anchor="fig-therapy-examples-supp-lsd">
        <w:r>
          <w:rPr>
            <w:rStyle w:val="Hyperlink"/>
          </w:rPr>
          <w:t xml:space="preserve">Fig. S12</w:t>
        </w:r>
      </w:hyperlink>
      <w:r>
        <w:t xml:space="preserve">).</w:t>
      </w:r>
      <w:r>
        <w:t xml:space="preserve"> </w:t>
      </w:r>
      <w:r>
        <w:t xml:space="preserve">Assuringly, we found that the disease</w:t>
      </w:r>
      <w:r>
        <w:t xml:space="preserve"> </w:t>
      </w:r>
      <w:r>
        <w:t xml:space="preserve">‘Achondrogenesis Type 1B’</w:t>
      </w:r>
      <w:r>
        <w:t xml:space="preserve"> </w:t>
      </w:r>
      <w:r>
        <w:t xml:space="preserve">is caused by the genes</w:t>
      </w:r>
      <w:r>
        <w:t xml:space="preserve"> </w:t>
      </w:r>
      <w:r>
        <w:rPr>
          <w:i/>
          <w:iCs/>
        </w:rPr>
        <w:t xml:space="preserve">SLC26A2</w:t>
      </w:r>
      <w:r>
        <w:t xml:space="preserve"> </w:t>
      </w:r>
      <w:r>
        <w:t xml:space="preserve">and</w:t>
      </w:r>
      <w:r>
        <w:t xml:space="preserve"> </w:t>
      </w:r>
      <w:r>
        <w:rPr>
          <w:i/>
          <w:iCs/>
        </w:rPr>
        <w:t xml:space="preserve">COL2A1</w:t>
      </w:r>
      <w:r>
        <w:t xml:space="preserve"> </w:t>
      </w:r>
      <w:r>
        <w:t xml:space="preserve">via chondrocytes.</w:t>
      </w:r>
      <w:r>
        <w:t xml:space="preserve"> </w:t>
      </w:r>
      <w:r>
        <w:t xml:space="preserve">We also found that</w:t>
      </w:r>
      <w:r>
        <w:t xml:space="preserve"> </w:t>
      </w:r>
      <w:r>
        <w:t xml:space="preserve">‘Platyspondylic lethal skeletal dysplasia, Torrance type’</w:t>
      </w:r>
      <w:r>
        <w:t xml:space="preserve"> </w:t>
      </w:r>
      <w:r>
        <w:t xml:space="preserve">was associated with chondrocytes via</w:t>
      </w:r>
      <w:r>
        <w:t xml:space="preserve"> </w:t>
      </w:r>
      <w:r>
        <w:rPr>
          <w:i/>
          <w:iCs/>
        </w:rPr>
        <w:t xml:space="preserve">SLC26A2</w:t>
      </w:r>
      <w:r>
        <w:t xml:space="preserve"> </w:t>
      </w:r>
      <w:r>
        <w:t xml:space="preserve">and</w:t>
      </w:r>
      <w:r>
        <w:t xml:space="preserve"> </w:t>
      </w:r>
      <w:r>
        <w:rPr>
          <w:i/>
          <w:iCs/>
        </w:rPr>
        <w:t xml:space="preserve">COL2A1</w:t>
      </w:r>
      <w:r>
        <w:t xml:space="preserve">.</w:t>
      </w:r>
      <w:r>
        <w:t xml:space="preserve"> </w:t>
      </w:r>
      <w:r>
        <w:t xml:space="preserve">Thus, in cases where surgical intervention is insufficient, targeting these genes within chondrocytes may prove a viable long-term solution for children suffering from lethal skeletal dysplasia.</w:t>
      </w:r>
    </w:p>
    <w:p>
      <w:pPr>
        <w:pStyle w:val="BodyText"/>
      </w:pPr>
      <w:r>
        <w:t xml:space="preserve">Alzheimer’s disease (AD) is the most common neurodegenerative condition.</w:t>
      </w:r>
      <w:r>
        <w:t xml:space="preserve"> </w:t>
      </w:r>
      <w:r>
        <w:t xml:space="preserve">It is characterised by a set of variably penetrant phenotypes including memory loss, cognitive decline, and cerebral proteinopathy.</w:t>
      </w:r>
      <w:r>
        <w:t xml:space="preserve"> </w:t>
      </w:r>
      <w:r>
        <w:t xml:space="preserve">Interestingly, we found that different forms of early onset AD (which are defined by the presence of a specific disease gene) are each associated with different cell types via different phenotypes (</w:t>
      </w:r>
      <w:hyperlink w:anchor="fig-therapy-examples-supp-ad">
        <w:r>
          <w:rPr>
            <w:rStyle w:val="Hyperlink"/>
          </w:rPr>
          <w:t xml:space="preserve">Fig. S15</w:t>
        </w:r>
      </w:hyperlink>
      <w:r>
        <w:t xml:space="preserve">).</w:t>
      </w:r>
      <w:r>
        <w:t xml:space="preserve"> </w:t>
      </w:r>
      <w:r>
        <w:t xml:space="preserve">For example, AD 3 and AD 4 are primarily associated with cells of the digestive system (</w:t>
      </w:r>
      <w:r>
        <w:t xml:space="preserve">‘enterocyte’</w:t>
      </w:r>
      <w:r>
        <w:t xml:space="preserve">,</w:t>
      </w:r>
      <w:r>
        <w:t xml:space="preserve"> </w:t>
      </w:r>
      <w:r>
        <w:t xml:space="preserve">‘gastric goblet cell’</w:t>
      </w:r>
      <w:r>
        <w:t xml:space="preserve">) and are implied to be responsible for the phenotypes</w:t>
      </w:r>
      <w:r>
        <w:t xml:space="preserve"> </w:t>
      </w:r>
      <w:r>
        <w:t xml:space="preserve">‘Senile plaques’</w:t>
      </w:r>
      <w:r>
        <w:t xml:space="preserve">,</w:t>
      </w:r>
      <w:r>
        <w:t xml:space="preserve"> </w:t>
      </w:r>
      <w:r>
        <w:t xml:space="preserve">‘Alzheimer disease’</w:t>
      </w:r>
      <w:r>
        <w:t xml:space="preserve">,</w:t>
      </w:r>
      <w:r>
        <w:t xml:space="preserve"> </w:t>
      </w:r>
      <w:r>
        <w:t xml:space="preserve">‘Parietal hypometabolism in FDG PET’</w:t>
      </w:r>
      <w:r>
        <w:t xml:space="preserve">.</w:t>
      </w:r>
      <w:r>
        <w:t xml:space="preserve"> </w:t>
      </w:r>
      <w:r>
        <w:t xml:space="preserve">Meanwhile, AD 2 is primarily associated with immune cells (</w:t>
      </w:r>
      <w:r>
        <w:t xml:space="preserve">‘alternatively activated macrophage’</w:t>
      </w:r>
      <w:r>
        <w:t xml:space="preserve">) and is implied to be responsible for the phenotypes</w:t>
      </w:r>
      <w:r>
        <w:t xml:space="preserve"> </w:t>
      </w:r>
      <w:r>
        <w:t xml:space="preserve">‘Neurofibrillary tangles’</w:t>
      </w:r>
      <w:r>
        <w:t xml:space="preserve">,</w:t>
      </w:r>
      <w:r>
        <w:t xml:space="preserve"> </w:t>
      </w:r>
      <w:r>
        <w:t xml:space="preserve">‘Long-tract signs’</w:t>
      </w:r>
      <w:r>
        <w:t xml:space="preserve">.</w:t>
      </w:r>
      <w:r>
        <w:t xml:space="preserve"> </w:t>
      </w:r>
      <w:r>
        <w:t xml:space="preserve">This suggests that different forms of AD may be driven by different cell types and phenotypes, which may help to explain its variability in onset and clinical presentation.</w:t>
      </w:r>
    </w:p>
    <w:p>
      <w:pPr>
        <w:pStyle w:val="BodyText"/>
      </w:pPr>
      <w:r>
        <w:t xml:space="preserve">Finally, Parkinson’s disease (PD) is characterised by motor symptoms such as tremor, rigidity, and bradykinesia.</w:t>
      </w:r>
      <w:r>
        <w:t xml:space="preserve"> </w:t>
      </w:r>
      <w:r>
        <w:t xml:space="preserve">However there are a number of additional phenotypes associated with the disease that span multiple physiological systems.</w:t>
      </w:r>
      <w:r>
        <w:t xml:space="preserve"> </w:t>
      </w:r>
      <w:r>
        <w:t xml:space="preserve">PD 19a and PD 8 seemed to align most closely with the canonical understanding of PD as a disease of the central nervous system in that they implicated oligodendrocytes and neurons (</w:t>
      </w:r>
      <w:hyperlink w:anchor="fig-therapy-examples-supp-pd">
        <w:r>
          <w:rPr>
            <w:rStyle w:val="Hyperlink"/>
          </w:rPr>
          <w:t xml:space="preserve">Fig. S14</w:t>
        </w:r>
      </w:hyperlink>
      <w:r>
        <w:t xml:space="preserve">).</w:t>
      </w:r>
      <w:r>
        <w:t xml:space="preserve"> </w:t>
      </w:r>
      <w:r>
        <w:t xml:space="preserve">Though the reference datasets being used in this study were not annotated at sufficient resolution to distinguish between different subtypes of neurons, in particular dopaminergic neurons.</w:t>
      </w:r>
      <w:r>
        <w:t xml:space="preserve"> </w:t>
      </w:r>
      <w:r>
        <w:t xml:space="preserve">PD 19a/8 also suggested that risk variants in</w:t>
      </w:r>
      <w:r>
        <w:t xml:space="preserve"> </w:t>
      </w:r>
      <w:r>
        <w:rPr>
          <w:i/>
          <w:iCs/>
        </w:rPr>
        <w:t xml:space="preserve">LRRK2</w:t>
      </w:r>
      <w:r>
        <w:t xml:space="preserve"> </w:t>
      </w:r>
      <w:r>
        <w:t xml:space="preserve">mediate their effects on PD through both myeloid cells and oligodendrocytes by causing gliosis of the substantia nigra.</w:t>
      </w:r>
      <w:r>
        <w:t xml:space="preserve"> </w:t>
      </w:r>
      <w:r>
        <w:t xml:space="preserve">The remaining clusters of PD mechanisms revolved around chondrocytes (PD 20), amacrine cells of the eye (hereditary late-onset PD), and the respiratory/immune system (PD 14).</w:t>
      </w:r>
      <w:r>
        <w:t xml:space="preserve"> </w:t>
      </w:r>
      <w:r>
        <w:t xml:space="preserve">While the diversity in cell type-specific mechanisms is somewhat surprising, it may help to explain the wide variety of cross-system phenotypes frequently observed in PD.</w:t>
      </w:r>
    </w:p>
    <w:p>
      <w:pPr>
        <w:pStyle w:val="BodyText"/>
      </w:pPr>
      <w:r>
        <w:t xml:space="preserve">It should be noted that the HPO only includes gene annotations for the monogenic forms of AD and PD.</w:t>
      </w:r>
      <w:r>
        <w:t xml:space="preserve"> </w:t>
      </w:r>
      <w:r>
        <w:t xml:space="preserve">However it has previously been shown that there is at least partial overlap in their phenotypic and genetic etiology with respect to their common forms.</w:t>
      </w:r>
      <w:r>
        <w:t xml:space="preserve"> </w:t>
      </w:r>
      <w:r>
        <w:t xml:space="preserve">Thus understanding the monogenic forms of these diseases may shed light onto their more common counterparts.</w:t>
      </w:r>
    </w:p>
    <w:bookmarkEnd w:id="272"/>
    <w:bookmarkEnd w:id="273"/>
    <w:bookmarkStart w:id="274" w:name="experimental-model-translatability-1"/>
    <w:p>
      <w:pPr>
        <w:pStyle w:val="Heading3"/>
      </w:pPr>
      <w:r>
        <w:t xml:space="preserve">Experimental model translatability</w:t>
      </w:r>
    </w:p>
    <w:p>
      <w:pPr>
        <w:pStyle w:val="FirstParagraph"/>
      </w:pPr>
      <w:r>
        <w:t xml:space="preserve">We computed interspecies translatability scores using a combination of both ontological (</w:t>
      </w:r>
      <m:oMath>
        <m:r>
          <m:t>S</m:t>
        </m:r>
        <m:r>
          <m:t>I</m:t>
        </m:r>
        <m:sSub>
          <m:e>
            <m:r>
              <m:t>M</m:t>
            </m:r>
          </m:e>
          <m:sub>
            <m:r>
              <m:t>o</m:t>
            </m:r>
          </m:sub>
        </m:sSub>
      </m:oMath>
      <w:r>
        <w:t xml:space="preserve">) and genotypic (</w:t>
      </w:r>
      <m:oMath>
        <m:r>
          <m:t>S</m:t>
        </m:r>
        <m:r>
          <m:t>I</m:t>
        </m:r>
        <m:sSub>
          <m:e>
            <m:r>
              <m:t>M</m:t>
            </m:r>
          </m:e>
          <m:sub>
            <m:r>
              <m:t>g</m:t>
            </m:r>
          </m:sub>
        </m:sSub>
      </m:oMath>
      <w:r>
        <w:t xml:space="preserve">) similarity relative to each homologous human phenotype and its associated genes</w:t>
      </w:r>
      <w:r>
        <w:t xml:space="preserve"> </w:t>
      </w:r>
      <w:hyperlink w:anchor="fig-animal-models">
        <w:r>
          <w:rPr>
            <w:rStyle w:val="Hyperlink"/>
          </w:rPr>
          <w:t xml:space="preserve">Fig. S8</w:t>
        </w:r>
      </w:hyperlink>
      <w:r>
        <w:t xml:space="preserve">.</w:t>
      </w:r>
      <w:r>
        <w:t xml:space="preserve"> </w:t>
      </w:r>
      <w:r>
        <w:t xml:space="preserve">In total, we mapped 281 non-human phenotypes (in</w:t>
      </w:r>
      <w:r>
        <w:t xml:space="preserve"> </w:t>
      </w:r>
      <w:r>
        <w:rPr>
          <w:i/>
          <w:iCs/>
        </w:rPr>
        <w:t xml:space="preserve">Caenorhabditis elegans</w:t>
      </w:r>
      <w:r>
        <w:t xml:space="preserve">,</w:t>
      </w:r>
      <w:r>
        <w:t xml:space="preserve"> </w:t>
      </w:r>
      <w:r>
        <w:rPr>
          <w:i/>
          <w:iCs/>
        </w:rPr>
        <w:t xml:space="preserve">Danio rerio</w:t>
      </w:r>
      <w:r>
        <w:t xml:space="preserve">,</w:t>
      </w:r>
      <w:r>
        <w:t xml:space="preserve"> </w:t>
      </w:r>
      <w:r>
        <w:rPr>
          <w:i/>
          <w:iCs/>
        </w:rPr>
        <w:t xml:space="preserve">Mus musculus</w:t>
      </w:r>
      <w:r>
        <w:t xml:space="preserve">,</w:t>
      </w:r>
      <w:r>
        <w:t xml:space="preserve"> </w:t>
      </w:r>
      <w:r>
        <w:rPr>
          <w:i/>
          <w:iCs/>
        </w:rPr>
        <w:t xml:space="preserve">Rattus norvegicus</w:t>
      </w:r>
      <w:r>
        <w:t xml:space="preserve">) to 375 homologous human phenotypes.</w:t>
      </w:r>
      <w:r>
        <w:t xml:space="preserve"> </w:t>
      </w:r>
      <w:r>
        <w:t xml:space="preserve">Amongst the 5,252 phenotype within our prioritised therapy targets, 154 had viable animal models in at least one non-human species.</w:t>
      </w:r>
      <w:r>
        <w:t xml:space="preserve"> </w:t>
      </w:r>
      <w:r>
        <w:t xml:space="preserve">Per species, the number of homologous phenotypes was:</w:t>
      </w:r>
      <w:r>
        <w:t xml:space="preserve"> </w:t>
      </w:r>
      <w:r>
        <w:rPr>
          <w:i/>
          <w:iCs/>
        </w:rPr>
        <w:t xml:space="preserve">Mus musculus</w:t>
      </w:r>
      <w:r>
        <w:t xml:space="preserve"> </w:t>
      </w:r>
      <w:r>
        <w:t xml:space="preserve">(n=146),</w:t>
      </w:r>
      <w:r>
        <w:t xml:space="preserve"> </w:t>
      </w:r>
      <w:r>
        <w:rPr>
          <w:i/>
          <w:iCs/>
        </w:rPr>
        <w:t xml:space="preserve">Danio rerio</w:t>
      </w:r>
      <w:r>
        <w:t xml:space="preserve"> </w:t>
      </w:r>
      <w:r>
        <w:t xml:space="preserve">(n=29),</w:t>
      </w:r>
      <w:r>
        <w:t xml:space="preserve"> </w:t>
      </w:r>
      <w:r>
        <w:rPr>
          <w:i/>
          <w:iCs/>
        </w:rPr>
        <w:t xml:space="preserve">Rattus norvegicus</w:t>
      </w:r>
      <w:r>
        <w:t xml:space="preserve"> </w:t>
      </w:r>
      <w:r>
        <w:t xml:space="preserve">(n=5),</w:t>
      </w:r>
      <w:r>
        <w:t xml:space="preserve"> </w:t>
      </w:r>
      <w:r>
        <w:rPr>
          <w:i/>
          <w:iCs/>
        </w:rPr>
        <w:t xml:space="preserve">Caenorhabditis elegans</w:t>
      </w:r>
      <w:r>
        <w:t xml:space="preserve"> </w:t>
      </w:r>
      <w:r>
        <w:t xml:space="preserve">(n=1).</w:t>
      </w:r>
      <w:r>
        <w:t xml:space="preserve"> </w:t>
      </w:r>
      <w:r>
        <w:t xml:space="preserve">Amongst our prioritised targets with a GPT-4 severity score of &gt;10, the phenotypes with the greatest animal model similarity were</w:t>
      </w:r>
      <w:r>
        <w:t xml:space="preserve"> </w:t>
      </w:r>
      <w:r>
        <w:t xml:space="preserve">‘Odontodysplasia’</w:t>
      </w:r>
      <w:r>
        <w:t xml:space="preserve"> </w:t>
      </w:r>
      <w:r>
        <w:t xml:space="preserve">(</w:t>
      </w:r>
      <m:oMath>
        <m:r>
          <m:t>S</m:t>
        </m:r>
        <m:r>
          <m:t>I</m:t>
        </m:r>
        <m:sSub>
          <m:e>
            <m:r>
              <m:t>M</m:t>
            </m:r>
          </m:e>
          <m:sub>
            <m:r>
              <m:t>o</m:t>
            </m:r>
            <m:r>
              <m:t>g</m:t>
            </m:r>
          </m:sub>
        </m:sSub>
        <m:r>
          <m:rPr>
            <m:sty m:val="p"/>
          </m:rPr>
          <m:t>=</m:t>
        </m:r>
        <m:r>
          <m:t>0.97</m:t>
        </m:r>
      </m:oMath>
      <w:r>
        <w:t xml:space="preserve">),</w:t>
      </w:r>
      <w:r>
        <w:t xml:space="preserve"> </w:t>
      </w:r>
      <w:r>
        <w:t xml:space="preserve">‘Wide-cupped costochondral junctions’</w:t>
      </w:r>
      <w:r>
        <w:t xml:space="preserve"> </w:t>
      </w:r>
      <w:r>
        <w:t xml:space="preserve">(</w:t>
      </w:r>
      <m:oMath>
        <m:r>
          <m:t>S</m:t>
        </m:r>
        <m:r>
          <m:t>I</m:t>
        </m:r>
        <m:sSub>
          <m:e>
            <m:r>
              <m:t>M</m:t>
            </m:r>
          </m:e>
          <m:sub>
            <m:r>
              <m:t>o</m:t>
            </m:r>
            <m:r>
              <m:t>g</m:t>
            </m:r>
          </m:sub>
        </m:sSub>
        <m:r>
          <m:rPr>
            <m:sty m:val="p"/>
          </m:rPr>
          <m:t>=</m:t>
        </m:r>
        <m:r>
          <m:t>0.93</m:t>
        </m:r>
      </m:oMath>
      <w:r>
        <w:t xml:space="preserve">),</w:t>
      </w:r>
      <w:r>
        <w:t xml:space="preserve"> </w:t>
      </w:r>
      <w:r>
        <w:t xml:space="preserve">‘Short tubular bones of the hand’</w:t>
      </w:r>
      <w:r>
        <w:t xml:space="preserve"> </w:t>
      </w:r>
      <w:r>
        <w:t xml:space="preserve">(</w:t>
      </w:r>
      <m:oMath>
        <m:r>
          <m:t>S</m:t>
        </m:r>
        <m:r>
          <m:t>I</m:t>
        </m:r>
        <m:sSub>
          <m:e>
            <m:r>
              <m:t>M</m:t>
            </m:r>
          </m:e>
          <m:sub>
            <m:r>
              <m:t>o</m:t>
            </m:r>
            <m:r>
              <m:t>g</m:t>
            </m:r>
          </m:sub>
        </m:sSub>
        <m:r>
          <m:rPr>
            <m:sty m:val="p"/>
          </m:rPr>
          <m:t>=</m:t>
        </m:r>
        <m:r>
          <m:t>0.85</m:t>
        </m:r>
      </m:oMath>
      <w:r>
        <w:t xml:space="preserve">),</w:t>
      </w:r>
      <w:r>
        <w:t xml:space="preserve"> </w:t>
      </w:r>
      <w:r>
        <w:t xml:space="preserve">‘Megacystis’</w:t>
      </w:r>
      <w:r>
        <w:t xml:space="preserve"> </w:t>
      </w:r>
      <w:r>
        <w:t xml:space="preserve">(</w:t>
      </w:r>
      <m:oMath>
        <m:r>
          <m:t>S</m:t>
        </m:r>
        <m:r>
          <m:t>I</m:t>
        </m:r>
        <m:sSub>
          <m:e>
            <m:r>
              <m:t>M</m:t>
            </m:r>
          </m:e>
          <m:sub>
            <m:r>
              <m:t>o</m:t>
            </m:r>
            <m:r>
              <m:t>g</m:t>
            </m:r>
          </m:sub>
        </m:sSub>
        <m:r>
          <m:rPr>
            <m:sty m:val="p"/>
          </m:rPr>
          <m:t>=</m:t>
        </m:r>
        <m:r>
          <m:t>0.76</m:t>
        </m:r>
      </m:oMath>
      <w:r>
        <w:t xml:space="preserve">),</w:t>
      </w:r>
      <w:r>
        <w:t xml:space="preserve"> </w:t>
      </w:r>
      <w:r>
        <w:t xml:space="preserve">‘Cryptophthalmos’</w:t>
      </w:r>
      <w:r>
        <w:t xml:space="preserve"> </w:t>
      </w:r>
      <w:r>
        <w:t xml:space="preserve">(</w:t>
      </w:r>
      <m:oMath>
        <m:r>
          <m:t>S</m:t>
        </m:r>
        <m:r>
          <m:t>I</m:t>
        </m:r>
        <m:sSub>
          <m:e>
            <m:r>
              <m:t>M</m:t>
            </m:r>
          </m:e>
          <m:sub>
            <m:r>
              <m:t>o</m:t>
            </m:r>
            <m:r>
              <m:t>g</m:t>
            </m:r>
          </m:sub>
        </m:sSub>
        <m:r>
          <m:rPr>
            <m:sty m:val="p"/>
          </m:rPr>
          <m:t>=</m:t>
        </m:r>
        <m:r>
          <m:t>0.71</m:t>
        </m:r>
      </m:oMath>
      <w:r>
        <w:t xml:space="preserve">).</w:t>
      </w:r>
    </w:p>
    <w:bookmarkEnd w:id="274"/>
    <w:bookmarkStart w:id="355" w:name="supplementary-figures"/>
    <w:p>
      <w:pPr>
        <w:pStyle w:val="Heading3"/>
      </w:pPr>
      <w:r>
        <w:t xml:space="preserve">Supplementary Figures</w:t>
      </w:r>
    </w:p>
    <w:tbl>
      <w:tblPr>
        <w:tblStyle w:val="Table"/>
        <w:tblW w:type="pct" w:w="5000"/>
        <w:tblLayout w:type="fixed"/>
        <w:tblLook w:firstRow="0" w:lastRow="0" w:firstColumn="0" w:lastColumn="0" w:noHBand="0" w:noVBand="0" w:val="0000"/>
      </w:tblPr>
      <w:tblGrid>
        <w:gridCol w:w="7920"/>
      </w:tblGrid>
      <w:tr>
        <w:tc>
          <w:tcPr/>
          <w:bookmarkStart w:id="280" w:name="fig-evidence-histograms"/>
          <w:tbl>
            <w:tblPr>
              <w:tblStyle w:val="Table"/>
              <w:tblW w:type="pct" w:w="5000"/>
              <w:tblLayout w:type="fixed"/>
              <w:tblLook w:firstRow="0" w:lastRow="0" w:firstColumn="0" w:lastColumn="0" w:noHBand="0" w:noVBand="0" w:val="0000"/>
            </w:tblPr>
            <w:tblGrid>
              <w:gridCol w:w="7920"/>
            </w:tblGrid>
            <w:tr>
              <w:tc>
                <w:tcPr/>
                <w:bookmarkStart w:id="279" w:name="X2b86f10d780f208ee8e5c82f464572ec3a07985"/>
                <w:p>
                  <w:pPr>
                    <w:pStyle w:val="Compact"/>
                    <w:jc w:val="center"/>
                    <w:jc w:val="center"/>
                  </w:pPr>
                  <w:bookmarkStart w:id="278" w:name="X2b86f10d780f208ee8e5c82f464572ec3a07985"/>
                  <w:r>
                    <w:drawing>
                      <wp:inline>
                        <wp:extent cx="5334000" cy="4000500"/>
                        <wp:effectExtent b="0" l="0" r="0" t="0"/>
                        <wp:docPr descr="" title="" id="276" name="Picture"/>
                        <a:graphic>
                          <a:graphicData uri="http://schemas.openxmlformats.org/drawingml/2006/picture">
                            <pic:pic>
                              <pic:nvPicPr>
                                <pic:cNvPr descr="index_files/figure-docx/fig-evidence-histograms-1.png" id="277" name="Picture"/>
                                <pic:cNvPicPr>
                                  <a:picLocks noChangeArrowheads="1" noChangeAspect="1"/>
                                </pic:cNvPicPr>
                              </pic:nvPicPr>
                              <pic:blipFill>
                                <a:blip r:embed="rId275"/>
                                <a:stretch>
                                  <a:fillRect/>
                                </a:stretch>
                              </pic:blipFill>
                              <pic:spPr bwMode="auto">
                                <a:xfrm>
                                  <a:off x="0" y="0"/>
                                  <a:ext cx="5334000" cy="4000500"/>
                                </a:xfrm>
                                <a:prstGeom prst="rect">
                                  <a:avLst/>
                                </a:prstGeom>
                                <a:noFill/>
                                <a:ln w="9525">
                                  <a:noFill/>
                                  <a:headEnd/>
                                  <a:tailEnd/>
                                </a:ln>
                              </pic:spPr>
                            </pic:pic>
                          </a:graphicData>
                        </a:graphic>
                      </wp:inline>
                    </w:drawing>
                  </w:r>
                  <w:bookmarkEnd w:id="278"/>
                </w:p>
                <w:p>
                  <w:pPr>
                    <w:jc w:val="center"/>
                    <w:jc w:val="center"/>
                  </w:pPr>
                  <w:pPr>
                    <w:jc w:val="left"/>
                    <w:spacing w:before="200"/>
                    <w:pStyle w:val="ImageCaption"/>
                  </w:pPr>
                  <w:r>
                    <w:t xml:space="preserve">(a)</w:t>
                  </w:r>
                </w:p>
                <w:bookmarkEnd w:id="279"/>
              </w:tc>
            </w:tr>
          </w:tbl>
          <w:p>
            <w:pPr>
              <w:jc w:val="center"/>
            </w:pPr>
            <w:pPr>
              <w:jc w:val="left"/>
              <w:spacing w:before="200"/>
              <w:pStyle w:val="ImageCaption"/>
            </w:pPr>
            <w:r>
              <w:t xml:space="preserve">Figure S1:</w:t>
            </w:r>
            <w:r>
              <w:t xml:space="preserve"> </w:t>
            </w:r>
            <w:r>
              <w:rPr>
                <w:b/>
                <w:bCs/>
              </w:rPr>
              <w:t xml:space="preserve">Distribution of GenCC evidence scores at each processing step.</w:t>
            </w:r>
            <w:r>
              <w:t xml:space="preserve"> </w:t>
            </w:r>
            <w:r>
              <w:t xml:space="preserve">GenCC (</w:t>
            </w:r>
            <w:hyperlink r:id="rId131">
              <w:r>
                <w:rPr>
                  <w:rStyle w:val="Hyperlink"/>
                </w:rPr>
                <w:t xml:space="preserve">https://thegencc.org/</w:t>
              </w:r>
            </w:hyperlink>
            <w:r>
              <w:t xml:space="preserve">) is a database where semi-quantitative scores for the current strength of evidence attributing disruption of a gene as a causal factor in a given disease.</w:t>
            </w:r>
            <w:r>
              <w:t xml:space="preserve"> </w:t>
            </w:r>
            <w:r>
              <w:t xml:space="preserve">“gcc_disease_raw”</w:t>
            </w:r>
            <w:r>
              <w:t xml:space="preserve"> </w:t>
            </w:r>
            <w:r>
              <w:t xml:space="preserve">is the distribution of raw GenCC scores before any aggregation.</w:t>
            </w:r>
            <w:r>
              <w:t xml:space="preserve"> </w:t>
            </w:r>
            <w:r>
              <w:t xml:space="preserve">“gcc_disease_agg”</w:t>
            </w:r>
            <w:r>
              <w:t xml:space="preserve"> </w:t>
            </w:r>
            <w:r>
              <w:t xml:space="preserve">is the distribution of GenCC scores after aggregating by disease.</w:t>
            </w:r>
            <w:r>
              <w:t xml:space="preserve"> </w:t>
            </w:r>
            <w:r>
              <w:t xml:space="preserve">“gcc_phenotype”</w:t>
            </w:r>
            <w:r>
              <w:t xml:space="preserve"> </w:t>
            </w:r>
            <w:r>
              <w:t xml:space="preserve">is the distribution of scores after linking each phenotype to one or more disease.</w:t>
            </w:r>
            <w:r>
              <w:t xml:space="preserve"> </w:t>
            </w:r>
            <w:r>
              <w:t xml:space="preserve">“gcc_phenotype_agg”</w:t>
            </w:r>
            <w:r>
              <w:t xml:space="preserve"> </w:t>
            </w:r>
            <w:r>
              <w:t xml:space="preserve">is the distribution of scores after aggregating by phenotype, while</w:t>
            </w:r>
            <w:r>
              <w:t xml:space="preserve"> </w:t>
            </w:r>
            <w:r>
              <w:t xml:space="preserve">“gcc_phenotype_agg_sd”</w:t>
            </w:r>
            <w:r>
              <w:t xml:space="preserve"> </w:t>
            </w:r>
            <w:r>
              <w:t xml:space="preserve">is the standard deviation of those aggregated scores.</w:t>
            </w:r>
          </w:p>
          <w:bookmarkEnd w:id="28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4" w:name="fig-diagram"/>
          <w:p>
            <w:pPr>
              <w:pStyle w:val="Compact"/>
              <w:jc w:val="center"/>
            </w:pPr>
            <w:r>
              <w:drawing>
                <wp:inline>
                  <wp:extent cx="5334000" cy="3445691"/>
                  <wp:effectExtent b="0" l="0" r="0" t="0"/>
                  <wp:docPr descr="" title="" id="282" name="Picture"/>
                  <a:graphic>
                    <a:graphicData uri="http://schemas.openxmlformats.org/drawingml/2006/picture">
                      <pic:pic>
                        <pic:nvPicPr>
                          <pic:cNvPr descr="img/fig-diagram.png" id="283" name="Picture"/>
                          <pic:cNvPicPr>
                            <a:picLocks noChangeArrowheads="1" noChangeAspect="1"/>
                          </pic:cNvPicPr>
                        </pic:nvPicPr>
                        <pic:blipFill>
                          <a:blip r:embed="rId281"/>
                          <a:stretch>
                            <a:fillRect/>
                          </a:stretch>
                        </pic:blipFill>
                        <pic:spPr bwMode="auto">
                          <a:xfrm>
                            <a:off x="0" y="0"/>
                            <a:ext cx="5334000" cy="3445691"/>
                          </a:xfrm>
                          <a:prstGeom prst="rect">
                            <a:avLst/>
                          </a:prstGeom>
                          <a:noFill/>
                          <a:ln w="9525">
                            <a:noFill/>
                            <a:headEnd/>
                            <a:tailEnd/>
                          </a:ln>
                        </pic:spPr>
                      </pic:pic>
                    </a:graphicData>
                  </a:graphic>
                </wp:inline>
              </w:drawing>
            </w:r>
          </w:p>
          <w:p>
            <w:pPr>
              <w:jc w:val="center"/>
            </w:pPr>
            <w:pPr>
              <w:jc w:val="left"/>
              <w:spacing w:before="200"/>
              <w:pStyle w:val="ImageCaption"/>
            </w:pPr>
            <w:r>
              <w:t xml:space="preserve">Figure S2:</w:t>
            </w:r>
            <w:r>
              <w:t xml:space="preserve"> </w:t>
            </w:r>
            <w:r>
              <w:rPr>
                <w:b/>
                <w:bCs/>
              </w:rPr>
              <w:t xml:space="preserve">Diagrammatic overview of multi-scale disease investigation strategy.</w:t>
            </w:r>
            <w:r>
              <w:t xml:space="preserve"> </w:t>
            </w:r>
            <w:r>
              <w:t xml:space="preserve">Here we provide an abstract example of differential disease etiology across multiple scales: diseases (</w:t>
            </w:r>
            <m:oMath>
              <m:r>
                <m:t>D</m:t>
              </m:r>
            </m:oMath>
            <w:r>
              <w:t xml:space="preserve">), phenotypes (</w:t>
            </w:r>
            <m:oMath>
              <m:r>
                <m:t>P</m:t>
              </m:r>
            </m:oMath>
            <w:r>
              <w:t xml:space="preserve">), cell types (</w:t>
            </w:r>
            <m:oMath>
              <m:r>
                <m:t>C</m:t>
              </m:r>
            </m:oMath>
            <w:r>
              <w:t xml:space="preserve">), genes (</w:t>
            </w:r>
            <m:oMath>
              <m:r>
                <m:t>G</m:t>
              </m:r>
            </m:oMath>
            <w:r>
              <w:t xml:space="preserve">), and clinical outcomes (</w:t>
            </w:r>
            <m:oMath>
              <m:r>
                <m:t>O</m:t>
              </m:r>
            </m:oMath>
            <w:r>
              <w:t xml:space="preserve">).</w:t>
            </w:r>
            <w:r>
              <w:t xml:space="preserve"> </w:t>
            </w:r>
            <w:r>
              <w:t xml:space="preserve">In the HPO, genes are assigned to phenotypes via particular diseases (</w:t>
            </w:r>
            <m:oMath>
              <m:sSub>
                <m:e>
                  <m:r>
                    <m:t>G</m:t>
                  </m:r>
                </m:e>
                <m:sub>
                  <m:r>
                    <m:t>d</m:t>
                  </m:r>
                  <m:r>
                    <m:t>p</m:t>
                  </m:r>
                </m:sub>
              </m:sSub>
            </m:oMath>
            <w:r>
              <w:t xml:space="preserve">).</w:t>
            </w:r>
            <w:r>
              <w:t xml:space="preserve"> </w:t>
            </w:r>
            <w:r>
              <w:t xml:space="preserve">Therefore, the final gene list for each phenotype is aggregated from across multiple diseases (</w:t>
            </w:r>
            <m:oMath>
              <m:sSub>
                <m:e>
                  <m:r>
                    <m:t>G</m:t>
                  </m:r>
                </m:e>
                <m:sub>
                  <m:r>
                    <m:t>p</m:t>
                  </m:r>
                </m:sub>
              </m:sSub>
            </m:oMath>
            <w:r>
              <w:t xml:space="preserve">).</w:t>
            </w:r>
            <w:r>
              <w:t xml:space="preserve"> </w:t>
            </w:r>
            <w:r>
              <w:t xml:space="preserve">We performed association tests for all pairwise combinations of cell types and phenotypes and filtered results after multiple testing corrections (FDR&lt;0.05).</w:t>
            </w:r>
            <w:r>
              <w:t xml:space="preserve"> </w:t>
            </w:r>
            <w:r>
              <w:t xml:space="preserve">Each phenotype in the context of a given disease is referred to here as a symptom.</w:t>
            </w:r>
            <w:r>
              <w:t xml:space="preserve"> </w:t>
            </w:r>
            <w:r>
              <w:t xml:space="preserve">Links were established between symptoms and cell types through proportional gene set overlap at a minimum threshold of 25%.</w:t>
            </w:r>
          </w:p>
          <w:bookmarkEnd w:id="284"/>
        </w:tc>
      </w:tr>
    </w:tbl>
    <w:p>
      <w:r>
        <w:br w:type="page"/>
      </w:r>
    </w:p>
    <w:tbl>
      <w:tblPr>
        <w:tblStyle w:val="Table"/>
        <w:tblW w:type="pct" w:w="5000"/>
        <w:tblLayout w:type="fixed"/>
        <w:tblLook w:firstRow="0" w:lastRow="0" w:firstColumn="0" w:lastColumn="0" w:noHBand="0" w:noVBand="0" w:val="0000"/>
      </w:tblPr>
      <w:tblGrid>
        <w:gridCol w:w="7920"/>
      </w:tblGrid>
      <w:tr>
        <w:tc>
          <w:tcPr/>
          <w:bookmarkStart w:id="290" w:name="fig-ctd-correlation"/>
          <w:tbl>
            <w:tblPr>
              <w:tblStyle w:val="Table"/>
              <w:tblW w:type="pct" w:w="5000"/>
              <w:tblLayout w:type="fixed"/>
              <w:tblLook w:firstRow="0" w:lastRow="0" w:firstColumn="0" w:lastColumn="0" w:noHBand="0" w:noVBand="0" w:val="0000"/>
            </w:tblPr>
            <w:tblGrid>
              <w:gridCol w:w="7920"/>
            </w:tblGrid>
            <w:tr>
              <w:tc>
                <w:tcPr/>
                <w:bookmarkStart w:id="289" w:name="X08ce557e469f55a558f5f6e958e4f6f703ac9e5"/>
                <w:p>
                  <w:pPr>
                    <w:pStyle w:val="Compact"/>
                    <w:jc w:val="center"/>
                    <w:jc w:val="center"/>
                  </w:pPr>
                  <w:bookmarkStart w:id="288" w:name="X08ce557e469f55a558f5f6e958e4f6f703ac9e5"/>
                  <w:r>
                    <w:drawing>
                      <wp:inline>
                        <wp:extent cx="5334000" cy="5334000"/>
                        <wp:effectExtent b="0" l="0" r="0" t="0"/>
                        <wp:docPr descr="" title="" id="286" name="Picture"/>
                        <a:graphic>
                          <a:graphicData uri="http://schemas.openxmlformats.org/drawingml/2006/picture">
                            <pic:pic>
                              <pic:nvPicPr>
                                <pic:cNvPr descr="index_files/figure-docx/fig-ctd-correlation-1.png" id="287" name="Picture"/>
                                <pic:cNvPicPr>
                                  <a:picLocks noChangeArrowheads="1" noChangeAspect="1"/>
                                </pic:cNvPicPr>
                              </pic:nvPicPr>
                              <pic:blipFill>
                                <a:blip r:embed="rId285"/>
                                <a:stretch>
                                  <a:fillRect/>
                                </a:stretch>
                              </pic:blipFill>
                              <pic:spPr bwMode="auto">
                                <a:xfrm>
                                  <a:off x="0" y="0"/>
                                  <a:ext cx="5334000" cy="5334000"/>
                                </a:xfrm>
                                <a:prstGeom prst="rect">
                                  <a:avLst/>
                                </a:prstGeom>
                                <a:noFill/>
                                <a:ln w="9525">
                                  <a:noFill/>
                                  <a:headEnd/>
                                  <a:tailEnd/>
                                </a:ln>
                              </pic:spPr>
                            </pic:pic>
                          </a:graphicData>
                        </a:graphic>
                      </wp:inline>
                    </w:drawing>
                  </w:r>
                  <w:bookmarkEnd w:id="288"/>
                </w:p>
                <w:p>
                  <w:pPr>
                    <w:jc w:val="center"/>
                    <w:jc w:val="center"/>
                  </w:pPr>
                  <w:pPr>
                    <w:jc w:val="left"/>
                    <w:spacing w:before="200"/>
                    <w:pStyle w:val="ImageCaption"/>
                  </w:pPr>
                  <w:r>
                    <w:t xml:space="preserve">(a)</w:t>
                  </w:r>
                </w:p>
                <w:bookmarkEnd w:id="289"/>
              </w:tc>
            </w:tr>
          </w:tbl>
          <w:p>
            <w:pPr>
              <w:jc w:val="center"/>
            </w:pPr>
            <w:pPr>
              <w:jc w:val="left"/>
              <w:spacing w:before="200"/>
              <w:pStyle w:val="ImageCaption"/>
            </w:pPr>
            <w:r>
              <w:t xml:space="preserve">Figure S3:</w:t>
            </w:r>
            <w:r>
              <w:t xml:space="preserve"> </w:t>
            </w:r>
            <w:r>
              <w:rPr>
                <w:b/>
                <w:bCs/>
              </w:rPr>
              <w:t xml:space="preserve">Inter- and intra-dataset validation across the different CellTypeDataset (CTD) and developmental stages.</w:t>
            </w:r>
            <w:r>
              <w:t xml:space="preserve"> </w:t>
            </w:r>
            <w:r>
              <w:t xml:space="preserve">Correlations are computed using Pearson correlation coefficient. Point density is plotted using a 2D kernel density estimate.</w:t>
            </w:r>
            <w:r>
              <w:t xml:space="preserve"> </w:t>
            </w:r>
            <w:r>
              <w:rPr>
                <w:b/>
                <w:bCs/>
              </w:rPr>
              <w:t xml:space="preserve">a</w:t>
            </w:r>
            <w:r>
              <w:t xml:space="preserve"> </w:t>
            </w:r>
            <w:r>
              <w:t xml:space="preserve">Correlation between the uncorrected p-values from all phenotype-cell type association tests using the Descartes Human vs. Human Cell Landscape CTDs.</w:t>
            </w:r>
            <w:r>
              <w:t xml:space="preserve"> </w:t>
            </w:r>
            <w:r>
              <w:rPr>
                <w:b/>
                <w:bCs/>
              </w:rPr>
              <w:t xml:space="preserve">b</w:t>
            </w:r>
            <w:r>
              <w:t xml:space="preserve"> </w:t>
            </w:r>
            <w:r>
              <w:t xml:space="preserve">Correlation between the</w:t>
            </w:r>
            <w:r>
              <w:t xml:space="preserve"> </w:t>
            </w:r>
            <m:oMath>
              <m:r>
                <m:t>l</m:t>
              </m:r>
              <m:r>
                <m:t>o</m:t>
              </m:r>
              <m:sSub>
                <m:e>
                  <m:r>
                    <m:t>g</m:t>
                  </m:r>
                </m:e>
                <m:sub>
                  <m:r>
                    <m:t>10</m:t>
                  </m:r>
                </m:sub>
              </m:sSub>
              <m:d>
                <m:dPr>
                  <m:begChr m:val="("/>
                  <m:sepChr m:val=""/>
                  <m:endChr m:val=")"/>
                  <m:grow/>
                </m:dPr>
                <m:e>
                  <m:r>
                    <m:t>f</m:t>
                  </m:r>
                  <m:r>
                    <m:t>o</m:t>
                  </m:r>
                  <m:r>
                    <m:t>l</m:t>
                  </m:r>
                  <m:r>
                    <m:t>d</m:t>
                  </m:r>
                  <m:r>
                    <m:rPr>
                      <m:sty m:val="p"/>
                    </m:rPr>
                    <m:t>−</m:t>
                  </m:r>
                  <m:r>
                    <m:t>c</m:t>
                  </m:r>
                  <m:r>
                    <m:t>h</m:t>
                  </m:r>
                  <m:r>
                    <m:t>a</m:t>
                  </m:r>
                  <m:r>
                    <m:t>n</m:t>
                  </m:r>
                  <m:r>
                    <m:t>g</m:t>
                  </m:r>
                  <m:r>
                    <m:t>e</m:t>
                  </m:r>
                </m:e>
              </m:d>
            </m:oMath>
            <w:r>
              <w:t xml:space="preserve"> </w:t>
            </w:r>
            <w:r>
              <w:t xml:space="preserve">from significant phenotype-cell type association tests (FDR&lt;0.05) using the Descartes Human vs. Human Cell Landscape CTDs.</w:t>
            </w:r>
            <w:r>
              <w:t xml:space="preserve"> </w:t>
            </w:r>
            <w:r>
              <w:rPr>
                <w:b/>
                <w:bCs/>
              </w:rPr>
              <w:t xml:space="preserve">c</w:t>
            </w:r>
            <w:r>
              <w:t xml:space="preserve"> </w:t>
            </w:r>
            <w:r>
              <w:t xml:space="preserve">Correlation between the uncorrected p-values from all phenotype-cell type association tests using the Human Cell Landscape foetal samples vs. Human Cell Landscape adult samples.</w:t>
            </w:r>
            <w:r>
              <w:t xml:space="preserve"> </w:t>
            </w:r>
            <w:r>
              <w:rPr>
                <w:b/>
                <w:bCs/>
              </w:rPr>
              <w:t xml:space="preserve">d</w:t>
            </w:r>
            <w:r>
              <w:t xml:space="preserve"> </w:t>
            </w:r>
            <w:r>
              <w:t xml:space="preserve">Correlation between the</w:t>
            </w:r>
            <w:r>
              <w:t xml:space="preserve"> </w:t>
            </w:r>
            <m:oMath>
              <m:r>
                <m:t>l</m:t>
              </m:r>
              <m:r>
                <m:t>o</m:t>
              </m:r>
              <m:sSub>
                <m:e>
                  <m:r>
                    <m:t>g</m:t>
                  </m:r>
                </m:e>
                <m:sub>
                  <m:r>
                    <m:t>10</m:t>
                  </m:r>
                </m:sub>
              </m:sSub>
              <m:d>
                <m:dPr>
                  <m:begChr m:val="("/>
                  <m:sepChr m:val=""/>
                  <m:endChr m:val=")"/>
                  <m:grow/>
                </m:dPr>
                <m:e>
                  <m:r>
                    <m:t>f</m:t>
                  </m:r>
                  <m:r>
                    <m:t>o</m:t>
                  </m:r>
                  <m:r>
                    <m:t>l</m:t>
                  </m:r>
                  <m:r>
                    <m:t>d</m:t>
                  </m:r>
                  <m:r>
                    <m:rPr>
                      <m:sty m:val="p"/>
                    </m:rPr>
                    <m:t>−</m:t>
                  </m:r>
                  <m:r>
                    <m:t>c</m:t>
                  </m:r>
                  <m:r>
                    <m:t>h</m:t>
                  </m:r>
                  <m:r>
                    <m:t>a</m:t>
                  </m:r>
                  <m:r>
                    <m:t>n</m:t>
                  </m:r>
                  <m:r>
                    <m:t>g</m:t>
                  </m:r>
                  <m:r>
                    <m:t>e</m:t>
                  </m:r>
                </m:e>
              </m:d>
            </m:oMath>
            <w:r>
              <w:t xml:space="preserve"> </w:t>
            </w:r>
            <w:r>
              <w:t xml:space="preserve">from significant phenotype-cell type association tests (FDR&lt;0.05) using the Human Cell Landscape foetal samples vs. Human Cell Landscape adult samples.</w:t>
            </w:r>
          </w:p>
          <w:bookmarkEnd w:id="290"/>
        </w:tc>
      </w:tr>
    </w:tbl>
    <w:p>
      <w:r>
        <w:br w:type="page"/>
      </w:r>
    </w:p>
    <w:tbl>
      <w:tblPr>
        <w:tblStyle w:val="Table"/>
        <w:tblW w:type="pct" w:w="5000"/>
        <w:tblLayout w:type="fixed"/>
        <w:tblLook w:firstRow="0" w:lastRow="0" w:firstColumn="0" w:lastColumn="0" w:noHBand="0" w:noVBand="0" w:val="0000"/>
      </w:tblPr>
      <w:tblGrid>
        <w:gridCol w:w="7920"/>
      </w:tblGrid>
      <w:tr>
        <w:tc>
          <w:tcPr/>
          <w:bookmarkStart w:id="296" w:name="fig-monarch-recall"/>
          <w:tbl>
            <w:tblPr>
              <w:tblStyle w:val="Table"/>
              <w:tblW w:type="pct" w:w="5000"/>
              <w:tblLayout w:type="fixed"/>
              <w:tblLook w:firstRow="0" w:lastRow="0" w:firstColumn="0" w:lastColumn="0" w:noHBand="0" w:noVBand="0" w:val="0000"/>
            </w:tblPr>
            <w:tblGrid>
              <w:gridCol w:w="7920"/>
            </w:tblGrid>
            <w:tr>
              <w:tc>
                <w:tcPr/>
                <w:bookmarkStart w:id="295" w:name="X766ef20058e33aadd7fbf975123df3ea5d95157"/>
                <w:p>
                  <w:pPr>
                    <w:pStyle w:val="Compact"/>
                    <w:jc w:val="center"/>
                    <w:jc w:val="center"/>
                  </w:pPr>
                  <w:bookmarkStart w:id="294" w:name="X766ef20058e33aadd7fbf975123df3ea5d95157"/>
                  <w:r>
                    <w:drawing>
                      <wp:inline>
                        <wp:extent cx="5334000" cy="4267200"/>
                        <wp:effectExtent b="0" l="0" r="0" t="0"/>
                        <wp:docPr descr="" title="" id="292" name="Picture"/>
                        <a:graphic>
                          <a:graphicData uri="http://schemas.openxmlformats.org/drawingml/2006/picture">
                            <pic:pic>
                              <pic:nvPicPr>
                                <pic:cNvPr descr="index_files/figure-docx/fig-monarch-recall-1.png" id="293" name="Picture"/>
                                <pic:cNvPicPr>
                                  <a:picLocks noChangeArrowheads="1" noChangeAspect="1"/>
                                </pic:cNvPicPr>
                              </pic:nvPicPr>
                              <pic:blipFill>
                                <a:blip r:embed="rId291"/>
                                <a:stretch>
                                  <a:fillRect/>
                                </a:stretch>
                              </pic:blipFill>
                              <pic:spPr bwMode="auto">
                                <a:xfrm>
                                  <a:off x="0" y="0"/>
                                  <a:ext cx="5334000" cy="4267200"/>
                                </a:xfrm>
                                <a:prstGeom prst="rect">
                                  <a:avLst/>
                                </a:prstGeom>
                                <a:noFill/>
                                <a:ln w="9525">
                                  <a:noFill/>
                                  <a:headEnd/>
                                  <a:tailEnd/>
                                </a:ln>
                              </pic:spPr>
                            </pic:pic>
                          </a:graphicData>
                        </a:graphic>
                      </wp:inline>
                    </w:drawing>
                  </w:r>
                  <w:bookmarkEnd w:id="294"/>
                </w:p>
                <w:p>
                  <w:pPr>
                    <w:jc w:val="center"/>
                    <w:jc w:val="center"/>
                  </w:pPr>
                  <w:pPr>
                    <w:jc w:val="left"/>
                    <w:spacing w:before="200"/>
                    <w:pStyle w:val="ImageCaption"/>
                  </w:pPr>
                  <w:r>
                    <w:t xml:space="preserve">(a)</w:t>
                  </w:r>
                </w:p>
                <w:bookmarkEnd w:id="295"/>
              </w:tc>
            </w:tr>
          </w:tbl>
          <w:p>
            <w:pPr>
              <w:jc w:val="center"/>
            </w:pPr>
            <w:pPr>
              <w:jc w:val="left"/>
              <w:spacing w:before="200"/>
              <w:pStyle w:val="ImageCaption"/>
            </w:pPr>
            <w:r>
              <w:t xml:space="preserve">Figure S4:</w:t>
            </w:r>
            <w:r>
              <w:t xml:space="preserve"> </w:t>
            </w:r>
            <w:r>
              <w:rPr>
                <w:b/>
                <w:bCs/>
              </w:rPr>
              <w:t xml:space="preserve">Recall of ground-truth Monarch Knowledge Graph phenotype-cell type relationships at each ontological distance between cell types according to the Cell Ontology.</w:t>
            </w:r>
          </w:p>
          <w:bookmarkEnd w:id="296"/>
        </w:tc>
      </w:tr>
    </w:tbl>
    <w:p>
      <w:r>
        <w:br w:type="page"/>
      </w:r>
    </w:p>
    <w:tbl>
      <w:tblPr>
        <w:tblStyle w:val="Table"/>
        <w:tblW w:type="pct" w:w="5000"/>
        <w:tblLayout w:type="fixed"/>
        <w:tblLook w:firstRow="0" w:lastRow="0" w:firstColumn="0" w:lastColumn="0" w:noHBand="0" w:noVBand="0" w:val="0000"/>
      </w:tblPr>
      <w:tblGrid>
        <w:gridCol w:w="7920"/>
      </w:tblGrid>
      <w:tr>
        <w:tc>
          <w:tcPr/>
          <w:bookmarkStart w:id="302" w:name="fig-celltype-severity-bar"/>
          <w:tbl>
            <w:tblPr>
              <w:tblStyle w:val="Table"/>
              <w:tblW w:type="pct" w:w="5000"/>
              <w:tblLayout w:type="fixed"/>
              <w:tblLook w:firstRow="0" w:lastRow="0" w:firstColumn="0" w:lastColumn="0" w:noHBand="0" w:noVBand="0" w:val="0000"/>
            </w:tblPr>
            <w:tblGrid>
              <w:gridCol w:w="7920"/>
            </w:tblGrid>
            <w:tr>
              <w:tc>
                <w:tcPr/>
                <w:bookmarkStart w:id="301" w:name="X06d8ab840e73b0bfad53b1f1f24592f38a256f7"/>
                <w:p>
                  <w:pPr>
                    <w:pStyle w:val="Compact"/>
                    <w:jc w:val="center"/>
                    <w:jc w:val="center"/>
                  </w:pPr>
                  <w:bookmarkStart w:id="300" w:name="X06d8ab840e73b0bfad53b1f1f24592f38a256f7"/>
                  <w:r>
                    <w:drawing>
                      <wp:inline>
                        <wp:extent cx="5334000" cy="4000500"/>
                        <wp:effectExtent b="0" l="0" r="0" t="0"/>
                        <wp:docPr descr="" title="" id="298" name="Picture"/>
                        <a:graphic>
                          <a:graphicData uri="http://schemas.openxmlformats.org/drawingml/2006/picture">
                            <pic:pic>
                              <pic:nvPicPr>
                                <pic:cNvPr descr="index_files/figure-docx/fig-celltype-severity-bar-1.png" id="299" name="Picture"/>
                                <pic:cNvPicPr>
                                  <a:picLocks noChangeArrowheads="1" noChangeAspect="1"/>
                                </pic:cNvPicPr>
                              </pic:nvPicPr>
                              <pic:blipFill>
                                <a:blip r:embed="rId297"/>
                                <a:stretch>
                                  <a:fillRect/>
                                </a:stretch>
                              </pic:blipFill>
                              <pic:spPr bwMode="auto">
                                <a:xfrm>
                                  <a:off x="0" y="0"/>
                                  <a:ext cx="5334000" cy="4000500"/>
                                </a:xfrm>
                                <a:prstGeom prst="rect">
                                  <a:avLst/>
                                </a:prstGeom>
                                <a:noFill/>
                                <a:ln w="9525">
                                  <a:noFill/>
                                  <a:headEnd/>
                                  <a:tailEnd/>
                                </a:ln>
                              </pic:spPr>
                            </pic:pic>
                          </a:graphicData>
                        </a:graphic>
                      </wp:inline>
                    </w:drawing>
                  </w:r>
                  <w:bookmarkEnd w:id="300"/>
                </w:p>
                <w:p>
                  <w:pPr>
                    <w:jc w:val="center"/>
                    <w:jc w:val="center"/>
                  </w:pPr>
                  <w:pPr>
                    <w:jc w:val="left"/>
                    <w:spacing w:before="200"/>
                    <w:pStyle w:val="ImageCaption"/>
                  </w:pPr>
                  <w:r>
                    <w:t xml:space="preserve">(a)</w:t>
                  </w:r>
                </w:p>
                <w:bookmarkEnd w:id="301"/>
              </w:tc>
            </w:tr>
          </w:tbl>
          <w:p>
            <w:pPr>
              <w:jc w:val="center"/>
            </w:pPr>
            <w:pPr>
              <w:jc w:val="left"/>
              <w:spacing w:before="200"/>
              <w:pStyle w:val="ImageCaption"/>
            </w:pPr>
            <w:r>
              <w:t xml:space="preserve">Figure S5:</w:t>
            </w:r>
            <w:r>
              <w:t xml:space="preserve"> </w:t>
            </w:r>
            <w:r>
              <w:rPr>
                <w:b/>
                <w:bCs/>
              </w:rPr>
              <w:t xml:space="preserve">Cell types ordered by the mean severity of the phenotypes they’re associated with.</w:t>
            </w:r>
            <w:r>
              <w:t xml:space="preserve"> </w:t>
            </w:r>
            <w:r>
              <w:rPr>
                <w:b/>
                <w:bCs/>
              </w:rPr>
              <w:t xml:space="preserve">a</w:t>
            </w:r>
            <w:r>
              <w:t xml:space="preserve">, The distribution of phenotype severity annotation frequencies aggregated by cell type.</w:t>
            </w:r>
            <w:r>
              <w:t xml:space="preserve"> </w:t>
            </w:r>
            <w:r>
              <w:rPr>
                <w:b/>
                <w:bCs/>
              </w:rPr>
              <w:t xml:space="preserve">b</w:t>
            </w:r>
            <w:r>
              <w:t xml:space="preserve">, The composite severity score, averaged across all phenotypes associated with each cell type.</w:t>
            </w:r>
          </w:p>
          <w:bookmarkEnd w:id="302"/>
        </w:tc>
      </w:tr>
    </w:tbl>
    <w:p>
      <w:r>
        <w:br w:type="page"/>
      </w:r>
    </w:p>
    <w:tbl>
      <w:tblPr>
        <w:tblStyle w:val="Table"/>
        <w:tblW w:type="pct" w:w="5000"/>
        <w:tblLayout w:type="fixed"/>
        <w:tblLook w:firstRow="0" w:lastRow="0" w:firstColumn="0" w:lastColumn="0" w:noHBand="0" w:noVBand="0" w:val="0000"/>
      </w:tblPr>
      <w:tblGrid>
        <w:gridCol w:w="7920"/>
      </w:tblGrid>
      <w:tr>
        <w:tc>
          <w:tcPr/>
          <w:bookmarkStart w:id="308" w:name="fig-therapy-filter"/>
          <w:tbl>
            <w:tblPr>
              <w:tblStyle w:val="Table"/>
              <w:tblW w:type="pct" w:w="5000"/>
              <w:tblLayout w:type="fixed"/>
              <w:tblLook w:firstRow="0" w:lastRow="0" w:firstColumn="0" w:lastColumn="0" w:noHBand="0" w:noVBand="0" w:val="0000"/>
            </w:tblPr>
            <w:tblGrid>
              <w:gridCol w:w="7920"/>
            </w:tblGrid>
            <w:tr>
              <w:tc>
                <w:tcPr/>
                <w:bookmarkStart w:id="307" w:name="Xe6633e05f2f4cb2dc10a92442347842935ece99"/>
                <w:p>
                  <w:pPr>
                    <w:pStyle w:val="Compact"/>
                    <w:jc w:val="center"/>
                    <w:jc w:val="center"/>
                  </w:pPr>
                  <w:bookmarkStart w:id="306" w:name="Xe6633e05f2f4cb2dc10a92442347842935ece99"/>
                  <w:r>
                    <w:drawing>
                      <wp:inline>
                        <wp:extent cx="5334000" cy="4267200"/>
                        <wp:effectExtent b="0" l="0" r="0" t="0"/>
                        <wp:docPr descr="" title="" id="304" name="Picture"/>
                        <a:graphic>
                          <a:graphicData uri="http://schemas.openxmlformats.org/drawingml/2006/picture">
                            <pic:pic>
                              <pic:nvPicPr>
                                <pic:cNvPr descr="index_files/figure-docx/fig-therapy-filter-1.png" id="305" name="Picture"/>
                                <pic:cNvPicPr>
                                  <a:picLocks noChangeArrowheads="1" noChangeAspect="1"/>
                                </pic:cNvPicPr>
                              </pic:nvPicPr>
                              <pic:blipFill>
                                <a:blip r:embed="rId303"/>
                                <a:stretch>
                                  <a:fillRect/>
                                </a:stretch>
                              </pic:blipFill>
                              <pic:spPr bwMode="auto">
                                <a:xfrm>
                                  <a:off x="0" y="0"/>
                                  <a:ext cx="5334000" cy="4267200"/>
                                </a:xfrm>
                                <a:prstGeom prst="rect">
                                  <a:avLst/>
                                </a:prstGeom>
                                <a:noFill/>
                                <a:ln w="9525">
                                  <a:noFill/>
                                  <a:headEnd/>
                                  <a:tailEnd/>
                                </a:ln>
                              </pic:spPr>
                            </pic:pic>
                          </a:graphicData>
                        </a:graphic>
                      </wp:inline>
                    </w:drawing>
                  </w:r>
                  <w:bookmarkEnd w:id="306"/>
                </w:p>
                <w:p>
                  <w:pPr>
                    <w:jc w:val="center"/>
                    <w:jc w:val="center"/>
                  </w:pPr>
                  <w:pPr>
                    <w:jc w:val="left"/>
                    <w:spacing w:before="200"/>
                    <w:pStyle w:val="ImageCaption"/>
                  </w:pPr>
                  <w:r>
                    <w:t xml:space="preserve">(a)</w:t>
                  </w:r>
                </w:p>
                <w:bookmarkEnd w:id="307"/>
              </w:tc>
            </w:tr>
          </w:tbl>
          <w:p>
            <w:pPr>
              <w:jc w:val="center"/>
            </w:pPr>
            <w:pPr>
              <w:jc w:val="left"/>
              <w:spacing w:before="200"/>
              <w:pStyle w:val="ImageCaption"/>
            </w:pPr>
            <w:r>
              <w:t xml:space="preserve">Figure S6:</w:t>
            </w:r>
            <w:r>
              <w:t xml:space="preserve"> </w:t>
            </w:r>
            <w:r>
              <w:rPr>
                <w:b/>
                <w:bCs/>
              </w:rPr>
              <w:t xml:space="preserve">Prioritised target filtering steps.</w:t>
            </w:r>
            <w:r>
              <w:t xml:space="preserve"> </w:t>
            </w:r>
            <w:r>
              <w:t xml:space="preserve">This plot visualises the number of unique phenotype-cell type associations, cell types, genes, and phenotypes (</w:t>
            </w:r>
            <w:r>
              <w:rPr>
                <w:i/>
                <w:iCs/>
              </w:rPr>
              <w:t xml:space="preserve">y-axis</w:t>
            </w:r>
            <w:r>
              <w:t xml:space="preserve">) at each filtering step (</w:t>
            </w:r>
            <w:r>
              <w:rPr>
                <w:i/>
                <w:iCs/>
              </w:rPr>
              <w:t xml:space="preserve">x-axis</w:t>
            </w:r>
            <w:r>
              <w:t xml:space="preserve">) within the multi-scale therapeutic target prioritisation pipeline. Each step in the pipeline can be easily adjusted according to user preference and use case. See</w:t>
            </w:r>
            <w:r>
              <w:t xml:space="preserve"> </w:t>
            </w:r>
            <w:hyperlink w:anchor="tbl-filters">
              <w:r>
                <w:rPr>
                  <w:rStyle w:val="Hyperlink"/>
                </w:rPr>
                <w:t xml:space="preserve">Table S3</w:t>
              </w:r>
            </w:hyperlink>
            <w:r>
              <w:t xml:space="preserve"> </w:t>
            </w:r>
            <w:r>
              <w:t xml:space="preserve">for descriptions and criterion of each filtering step.</w:t>
            </w:r>
          </w:p>
          <w:bookmarkEnd w:id="308"/>
        </w:tc>
      </w:tr>
    </w:tbl>
    <w:p>
      <w:r>
        <w:br w:type="page"/>
      </w:r>
    </w:p>
    <w:tbl>
      <w:tblPr>
        <w:tblStyle w:val="Table"/>
        <w:tblW w:type="pct" w:w="5000"/>
        <w:tblLayout w:type="fixed"/>
        <w:tblLook w:firstRow="0" w:lastRow="0" w:firstColumn="0" w:lastColumn="0" w:noHBand="0" w:noVBand="0" w:val="0000"/>
      </w:tblPr>
      <w:tblGrid>
        <w:gridCol w:w="7920"/>
      </w:tblGrid>
      <w:tr>
        <w:tc>
          <w:tcPr/>
          <w:bookmarkStart w:id="314" w:name="fig-therapy-validate-all"/>
          <w:tbl>
            <w:tblPr>
              <w:tblStyle w:val="Table"/>
              <w:tblW w:type="pct" w:w="5000"/>
              <w:tblLayout w:type="fixed"/>
              <w:tblLook w:firstRow="0" w:lastRow="0" w:firstColumn="0" w:lastColumn="0" w:noHBand="0" w:noVBand="0" w:val="0000"/>
            </w:tblPr>
            <w:tblGrid>
              <w:gridCol w:w="7920"/>
            </w:tblGrid>
            <w:tr>
              <w:tc>
                <w:tcPr/>
                <w:bookmarkStart w:id="313" w:name="X16e949b748b6e8c0a7d2cad83b1c9f4af9de86d"/>
                <w:p>
                  <w:pPr>
                    <w:pStyle w:val="Compact"/>
                    <w:jc w:val="center"/>
                    <w:jc w:val="center"/>
                  </w:pPr>
                  <w:bookmarkStart w:id="312" w:name="X16e949b748b6e8c0a7d2cad83b1c9f4af9de86d"/>
                  <w:r>
                    <w:drawing>
                      <wp:inline>
                        <wp:extent cx="5334000" cy="4849090"/>
                        <wp:effectExtent b="0" l="0" r="0" t="0"/>
                        <wp:docPr descr="" title="" id="310" name="Picture"/>
                        <a:graphic>
                          <a:graphicData uri="http://schemas.openxmlformats.org/drawingml/2006/picture">
                            <pic:pic>
                              <pic:nvPicPr>
                                <pic:cNvPr descr="index_files/figure-docx/fig-therapy-validate-all-1.png" id="311" name="Picture"/>
                                <pic:cNvPicPr>
                                  <a:picLocks noChangeArrowheads="1" noChangeAspect="1"/>
                                </pic:cNvPicPr>
                              </pic:nvPicPr>
                              <pic:blipFill>
                                <a:blip r:embed="rId309"/>
                                <a:stretch>
                                  <a:fillRect/>
                                </a:stretch>
                              </pic:blipFill>
                              <pic:spPr bwMode="auto">
                                <a:xfrm>
                                  <a:off x="0" y="0"/>
                                  <a:ext cx="5334000" cy="4849090"/>
                                </a:xfrm>
                                <a:prstGeom prst="rect">
                                  <a:avLst/>
                                </a:prstGeom>
                                <a:noFill/>
                                <a:ln w="9525">
                                  <a:noFill/>
                                  <a:headEnd/>
                                  <a:tailEnd/>
                                </a:ln>
                              </pic:spPr>
                            </pic:pic>
                          </a:graphicData>
                        </a:graphic>
                      </wp:inline>
                    </w:drawing>
                  </w:r>
                  <w:bookmarkEnd w:id="312"/>
                </w:p>
                <w:p>
                  <w:pPr>
                    <w:jc w:val="center"/>
                    <w:jc w:val="center"/>
                  </w:pPr>
                  <w:pPr>
                    <w:jc w:val="left"/>
                    <w:spacing w:before="200"/>
                    <w:pStyle w:val="ImageCaption"/>
                  </w:pPr>
                  <w:r>
                    <w:t xml:space="preserve">(a)</w:t>
                  </w:r>
                </w:p>
                <w:bookmarkEnd w:id="313"/>
              </w:tc>
            </w:tr>
          </w:tbl>
          <w:p>
            <w:pPr>
              <w:jc w:val="center"/>
            </w:pPr>
            <w:pPr>
              <w:jc w:val="left"/>
              <w:spacing w:before="200"/>
              <w:pStyle w:val="ImageCaption"/>
            </w:pPr>
            <w:r>
              <w:t xml:space="preserve">Figure S7:</w:t>
            </w:r>
            <w:r>
              <w:t xml:space="preserve"> </w:t>
            </w:r>
            <w:r>
              <w:rPr>
                <w:b/>
                <w:bCs/>
              </w:rPr>
              <w:t xml:space="preserve">Validation of prioritised therapeutic targets.</w:t>
            </w:r>
            <w:r>
              <w:t xml:space="preserve"> </w:t>
            </w:r>
            <w:r>
              <w:t xml:space="preserve">Proportion of existing all therapy targets (documented in the Therapeutic Target Database) recapitulated by our prioritisation pipeline.</w:t>
            </w:r>
          </w:p>
          <w:bookmarkEnd w:id="314"/>
        </w:tc>
      </w:tr>
    </w:tbl>
    <w:p>
      <w:r>
        <w:br w:type="page"/>
      </w:r>
    </w:p>
    <w:tbl>
      <w:tblPr>
        <w:tblStyle w:val="Table"/>
        <w:tblW w:type="pct" w:w="5000"/>
        <w:tblLayout w:type="fixed"/>
        <w:tblLook w:firstRow="0" w:lastRow="0" w:firstColumn="0" w:lastColumn="0" w:noHBand="0" w:noVBand="0" w:val="0000"/>
      </w:tblPr>
      <w:tblGrid>
        <w:gridCol w:w="7920"/>
      </w:tblGrid>
      <w:tr>
        <w:tc>
          <w:tcPr/>
          <w:bookmarkStart w:id="320" w:name="fig-animal-models"/>
          <w:tbl>
            <w:tblPr>
              <w:tblStyle w:val="Table"/>
              <w:tblW w:type="pct" w:w="5000"/>
              <w:tblLayout w:type="fixed"/>
              <w:tblLook w:firstRow="0" w:lastRow="0" w:firstColumn="0" w:lastColumn="0" w:noHBand="0" w:noVBand="0" w:val="0000"/>
            </w:tblPr>
            <w:tblGrid>
              <w:gridCol w:w="7920"/>
            </w:tblGrid>
            <w:tr>
              <w:tc>
                <w:tcPr/>
                <w:bookmarkStart w:id="319" w:name="X7839761e3cca1d75edc0a8fe35a7624aff0184f"/>
                <w:p>
                  <w:pPr>
                    <w:pStyle w:val="Compact"/>
                    <w:jc w:val="center"/>
                    <w:jc w:val="center"/>
                  </w:pPr>
                  <w:bookmarkStart w:id="318" w:name="X7839761e3cca1d75edc0a8fe35a7624aff0184f"/>
                  <w:r>
                    <w:drawing>
                      <wp:inline>
                        <wp:extent cx="5334000" cy="6400800"/>
                        <wp:effectExtent b="0" l="0" r="0" t="0"/>
                        <wp:docPr descr="" title="" id="316" name="Picture"/>
                        <a:graphic>
                          <a:graphicData uri="http://schemas.openxmlformats.org/drawingml/2006/picture">
                            <pic:pic>
                              <pic:nvPicPr>
                                <pic:cNvPr descr="index_files/figure-docx/fig-animal-models-1.png" id="317" name="Picture"/>
                                <pic:cNvPicPr>
                                  <a:picLocks noChangeArrowheads="1" noChangeAspect="1"/>
                                </pic:cNvPicPr>
                              </pic:nvPicPr>
                              <pic:blipFill>
                                <a:blip r:embed="rId315"/>
                                <a:stretch>
                                  <a:fillRect/>
                                </a:stretch>
                              </pic:blipFill>
                              <pic:spPr bwMode="auto">
                                <a:xfrm>
                                  <a:off x="0" y="0"/>
                                  <a:ext cx="5334000" cy="6400800"/>
                                </a:xfrm>
                                <a:prstGeom prst="rect">
                                  <a:avLst/>
                                </a:prstGeom>
                                <a:noFill/>
                                <a:ln w="9525">
                                  <a:noFill/>
                                  <a:headEnd/>
                                  <a:tailEnd/>
                                </a:ln>
                              </pic:spPr>
                            </pic:pic>
                          </a:graphicData>
                        </a:graphic>
                      </wp:inline>
                    </w:drawing>
                  </w:r>
                  <w:bookmarkEnd w:id="318"/>
                </w:p>
                <w:p>
                  <w:pPr>
                    <w:jc w:val="center"/>
                    <w:jc w:val="center"/>
                  </w:pPr>
                  <w:pPr>
                    <w:jc w:val="left"/>
                    <w:spacing w:before="200"/>
                    <w:pStyle w:val="ImageCaption"/>
                  </w:pPr>
                  <w:r>
                    <w:t xml:space="preserve">(a)</w:t>
                  </w:r>
                </w:p>
                <w:bookmarkEnd w:id="319"/>
              </w:tc>
            </w:tr>
          </w:tbl>
          <w:p>
            <w:pPr>
              <w:jc w:val="center"/>
            </w:pPr>
            <w:pPr>
              <w:jc w:val="left"/>
              <w:spacing w:before="200"/>
              <w:pStyle w:val="ImageCaption"/>
            </w:pPr>
            <w:r>
              <w:t xml:space="preserve">Figure S8:</w:t>
            </w:r>
            <w:r>
              <w:t xml:space="preserve"> </w:t>
            </w:r>
            <w:r>
              <w:rPr>
                <w:b/>
                <w:bCs/>
              </w:rPr>
              <w:t xml:space="preserve">Identification of translatable experimental models.</w:t>
            </w:r>
            <w:r>
              <w:t xml:space="preserve"> </w:t>
            </w:r>
            <w:r>
              <w:t xml:space="preserve">Interspecies translatability of the top human phenotypes nominated by the gene therapy prioritised pipeline. Above, the combined ontological-genotypic similarity score (</w:t>
            </w:r>
            <m:oMath>
              <m:r>
                <m:t>S</m:t>
              </m:r>
              <m:r>
                <m:t>I</m:t>
              </m:r>
              <m:sSub>
                <m:e>
                  <m:r>
                    <m:t>M</m:t>
                  </m:r>
                </m:e>
                <m:sub>
                  <m:r>
                    <m:t>o</m:t>
                  </m:r>
                  <m:r>
                    <m:t>g</m:t>
                  </m:r>
                </m:sub>
              </m:sSub>
            </m:oMath>
            <w:r>
              <w:t xml:space="preserve">) is displayed as the heatmap fill colour stratified by the model organism (</w:t>
            </w:r>
            <w:r>
              <w:rPr>
                <w:i/>
                <w:iCs/>
              </w:rPr>
              <w:t xml:space="preserve">x-axis</w:t>
            </w:r>
            <w:r>
              <w:t xml:space="preserve">). An additional column (</w:t>
            </w:r>
            <w:r>
              <w:t xml:space="preserve">“n_genes_db1”</w:t>
            </w:r>
            <w:r>
              <w:t xml:space="preserve"> </w:t>
            </w:r>
            <w:r>
              <w:t xml:space="preserve">on the far left) displays the total number of unique genes annotated to the phenotype within the HPO. Phenotypes are clustered according to their ontological similarity in the HPO (</w:t>
            </w:r>
            <w:r>
              <w:rPr>
                <w:i/>
                <w:iCs/>
              </w:rPr>
              <w:t xml:space="preserve">y-axis</w:t>
            </w:r>
            <w:r>
              <w:t xml:space="preserve">).</w:t>
            </w:r>
          </w:p>
          <w:bookmarkEnd w:id="320"/>
        </w:tc>
      </w:tr>
    </w:tbl>
    <w:p>
      <w:r>
        <w:br w:type="page"/>
      </w:r>
    </w:p>
    <w:tbl>
      <w:tblPr>
        <w:tblStyle w:val="Table"/>
        <w:tblW w:type="pct" w:w="5000"/>
        <w:tblLayout w:type="fixed"/>
        <w:tblLook w:firstRow="0" w:lastRow="0" w:firstColumn="0" w:lastColumn="0" w:noHBand="0" w:noVBand="0" w:val="0000"/>
      </w:tblPr>
      <w:tblGrid>
        <w:gridCol w:w="7920"/>
      </w:tblGrid>
      <w:tr>
        <w:tc>
          <w:tcPr/>
          <w:bookmarkStart w:id="326" w:name="fig-therapy-examples2"/>
          <w:tbl>
            <w:tblPr>
              <w:tblStyle w:val="Table"/>
              <w:tblW w:type="pct" w:w="5000"/>
              <w:tblLayout w:type="fixed"/>
              <w:tblLook w:firstRow="0" w:lastRow="0" w:firstColumn="0" w:lastColumn="0" w:noHBand="0" w:noVBand="0" w:val="0000"/>
            </w:tblPr>
            <w:tblGrid>
              <w:gridCol w:w="7920"/>
            </w:tblGrid>
            <w:tr>
              <w:tc>
                <w:tcPr/>
                <w:bookmarkStart w:id="325" w:name="X9a568717a1caa2a1e9b5f23241f670a2e1be5c0"/>
                <w:p>
                  <w:pPr>
                    <w:pStyle w:val="Compact"/>
                    <w:jc w:val="center"/>
                    <w:jc w:val="center"/>
                  </w:pPr>
                  <w:bookmarkStart w:id="324" w:name="X9a568717a1caa2a1e9b5f23241f670a2e1be5c0"/>
                  <w:r>
                    <w:drawing>
                      <wp:inline>
                        <wp:extent cx="5334000" cy="8534400"/>
                        <wp:effectExtent b="0" l="0" r="0" t="0"/>
                        <wp:docPr descr="" title="" id="322" name="Picture"/>
                        <a:graphic>
                          <a:graphicData uri="http://schemas.openxmlformats.org/drawingml/2006/picture">
                            <pic:pic>
                              <pic:nvPicPr>
                                <pic:cNvPr descr="index_files/figure-docx/fig-therapy-examples2-1.png" id="323" name="Picture"/>
                                <pic:cNvPicPr>
                                  <a:picLocks noChangeArrowheads="1" noChangeAspect="1"/>
                                </pic:cNvPicPr>
                              </pic:nvPicPr>
                              <pic:blipFill>
                                <a:blip r:embed="rId321"/>
                                <a:stretch>
                                  <a:fillRect/>
                                </a:stretch>
                              </pic:blipFill>
                              <pic:spPr bwMode="auto">
                                <a:xfrm>
                                  <a:off x="0" y="0"/>
                                  <a:ext cx="5334000" cy="8534400"/>
                                </a:xfrm>
                                <a:prstGeom prst="rect">
                                  <a:avLst/>
                                </a:prstGeom>
                                <a:noFill/>
                                <a:ln w="9525">
                                  <a:noFill/>
                                  <a:headEnd/>
                                  <a:tailEnd/>
                                </a:ln>
                              </pic:spPr>
                            </pic:pic>
                          </a:graphicData>
                        </a:graphic>
                      </wp:inline>
                    </w:drawing>
                  </w:r>
                  <w:bookmarkEnd w:id="324"/>
                </w:p>
                <w:p>
                  <w:pPr>
                    <w:jc w:val="center"/>
                    <w:jc w:val="center"/>
                  </w:pPr>
                  <w:pPr>
                    <w:jc w:val="left"/>
                    <w:spacing w:before="200"/>
                    <w:pStyle w:val="ImageCaption"/>
                  </w:pPr>
                  <w:r>
                    <w:t xml:space="preserve">(a)</w:t>
                  </w:r>
                </w:p>
                <w:bookmarkEnd w:id="325"/>
              </w:tc>
            </w:tr>
          </w:tbl>
          <w:p>
            <w:pPr>
              <w:jc w:val="center"/>
            </w:pPr>
            <w:pPr>
              <w:jc w:val="left"/>
              <w:spacing w:before="200"/>
              <w:pStyle w:val="ImageCaption"/>
            </w:pPr>
            <w:r>
              <w:t xml:space="preserve">Figure S9:</w:t>
            </w:r>
            <w:r>
              <w:t xml:space="preserve"> </w:t>
            </w:r>
            <w:r>
              <w:rPr>
                <w:b/>
                <w:bCs/>
              </w:rPr>
              <w:t xml:space="preserve">Causal multi-scale networks reveal cell type-specific therapeutic targets.</w:t>
            </w:r>
            <w:r>
              <w:t xml:space="preserve"> </w:t>
            </w:r>
            <w:r>
              <w:t xml:space="preserve">Each disease (blue cylinders) is connected to its phenotype (purple cylinders) based on well-established clinical observations recorded within the HPO</w:t>
            </w:r>
            <w:r>
              <w:rPr>
                <w:vertAlign w:val="superscript"/>
              </w:rPr>
              <w:t xml:space="preserve">11</w:t>
            </w:r>
            <w:r>
              <w:t xml:space="preserve">. Phenotypes are connected to cell types (orange circles) via association testing between weighted gene sets (FDR&lt;0.05). Each cell type is connected to the prioritised gene targets (yellow boxes) based on the driver gene analysis.The thickness of the edges connecting the nodes represent the (mean) fold-change from the bootstrapped enrichment tests. Nodes were spatially arranged using the Sugiyama algorithm</w:t>
            </w:r>
            <w:r>
              <w:rPr>
                <w:vertAlign w:val="superscript"/>
              </w:rPr>
              <w:t xml:space="preserve">47</w:t>
            </w:r>
            <w:r>
              <w:t xml:space="preserve">.</w:t>
            </w:r>
          </w:p>
          <w:bookmarkEnd w:id="326"/>
        </w:tc>
      </w:tr>
    </w:tbl>
    <w:p>
      <w:r>
        <w:br w:type="page"/>
      </w:r>
    </w:p>
    <w:tbl>
      <w:tblPr>
        <w:tblStyle w:val="Table"/>
        <w:tblW w:type="pct" w:w="5000"/>
        <w:tblLayout w:type="fixed"/>
        <w:tblLook w:firstRow="0" w:lastRow="0" w:firstColumn="0" w:lastColumn="0" w:noHBand="0" w:noVBand="0" w:val="0000"/>
      </w:tblPr>
      <w:tblGrid>
        <w:gridCol w:w="7920"/>
      </w:tblGrid>
      <w:tr>
        <w:tc>
          <w:tcPr/>
          <w:bookmarkStart w:id="330" w:name="fig-therapy-examples-supp-rf"/>
          <w:p>
            <w:pPr>
              <w:pStyle w:val="Compact"/>
              <w:jc w:val="center"/>
            </w:pPr>
            <w:r>
              <w:drawing>
                <wp:inline>
                  <wp:extent cx="5334000" cy="4036443"/>
                  <wp:effectExtent b="0" l="0" r="0" t="0"/>
                  <wp:docPr descr="" title="" id="328" name="Picture"/>
                  <a:graphic>
                    <a:graphicData uri="http://schemas.openxmlformats.org/drawingml/2006/picture">
                      <pic:pic>
                        <pic:nvPicPr>
                          <pic:cNvPr descr="img/fig-therapy-examples-supp/respiratory_failure.png" id="329" name="Picture"/>
                          <pic:cNvPicPr>
                            <a:picLocks noChangeArrowheads="1" noChangeAspect="1"/>
                          </pic:cNvPicPr>
                        </pic:nvPicPr>
                        <pic:blipFill>
                          <a:blip r:embed="rId327"/>
                          <a:stretch>
                            <a:fillRect/>
                          </a:stretch>
                        </pic:blipFill>
                        <pic:spPr bwMode="auto">
                          <a:xfrm>
                            <a:off x="0" y="0"/>
                            <a:ext cx="5334000" cy="4036443"/>
                          </a:xfrm>
                          <a:prstGeom prst="rect">
                            <a:avLst/>
                          </a:prstGeom>
                          <a:noFill/>
                          <a:ln w="9525">
                            <a:noFill/>
                            <a:headEnd/>
                            <a:tailEnd/>
                          </a:ln>
                        </pic:spPr>
                      </pic:pic>
                    </a:graphicData>
                  </a:graphic>
                </wp:inline>
              </w:drawing>
            </w:r>
          </w:p>
          <w:p>
            <w:pPr>
              <w:jc w:val="center"/>
            </w:pPr>
            <w:pPr>
              <w:jc w:val="left"/>
              <w:spacing w:before="200"/>
              <w:pStyle w:val="ImageCaption"/>
            </w:pPr>
            <w:r>
              <w:t xml:space="preserve">Figure S10:</w:t>
            </w:r>
            <w:r>
              <w:t xml:space="preserve"> </w:t>
            </w:r>
            <w:r>
              <w:rPr>
                <w:b/>
                <w:bCs/>
              </w:rPr>
              <w:t xml:space="preserve">Example cell type-specific gene therapy targets for phenotypes associated with respiratory failure-related diseases.</w:t>
            </w:r>
            <w:r>
              <w:t xml:space="preserve"> </w:t>
            </w:r>
            <w:r>
              <w:t xml:space="preserve">Each disease (</w:t>
            </w:r>
            <w:r>
              <w:rPr>
                <w:i/>
                <w:iCs/>
              </w:rPr>
              <w:t xml:space="preserve">blue cylinders</w:t>
            </w:r>
            <w:r>
              <w:t xml:space="preserve">) is connected to its phenotype (</w:t>
            </w:r>
            <w:r>
              <w:rPr>
                <w:i/>
                <w:iCs/>
              </w:rPr>
              <w:t xml:space="preserve">purple cylinders</w:t>
            </w:r>
            <w:r>
              <w:t xml:space="preserve">) based on well-established clinical observations recorded within the HPO</w:t>
            </w:r>
            <w:r>
              <w:rPr>
                <w:vertAlign w:val="superscript"/>
              </w:rPr>
              <w:t xml:space="preserve">11</w:t>
            </w:r>
            <w:r>
              <w:t xml:space="preserve">. Phenotypes are connected to cell types (</w:t>
            </w:r>
            <w:r>
              <w:rPr>
                <w:i/>
                <w:iCs/>
              </w:rPr>
              <w:t xml:space="preserve">red circles</w:t>
            </w:r>
            <w:r>
              <w:t xml:space="preserve">) via association testing between weighted gene sets (FDR&lt;0.05). Each cell type is connected to the prioritised gene targets (</w:t>
            </w:r>
            <w:r>
              <w:rPr>
                <w:i/>
                <w:iCs/>
              </w:rPr>
              <w:t xml:space="preserve">yellow boxes</w:t>
            </w:r>
            <w:r>
              <w:t xml:space="preserve">) based on the driver gene analysis. The thickness of the edges connecting the nodes represent the (mean) fold-change from the bootstrapped enrichment tests. Nodes were spatially arranged using the Sugiyama algorithm</w:t>
            </w:r>
            <w:r>
              <w:rPr>
                <w:vertAlign w:val="superscript"/>
              </w:rPr>
              <w:t xml:space="preserve">47</w:t>
            </w:r>
            <w:r>
              <w:t xml:space="preserve">.</w:t>
            </w:r>
          </w:p>
          <w:bookmarkEnd w:id="330"/>
        </w:tc>
      </w:tr>
    </w:tbl>
    <w:p>
      <w:r>
        <w:br w:type="page"/>
      </w:r>
    </w:p>
    <w:tbl>
      <w:tblPr>
        <w:tblStyle w:val="Table"/>
        <w:tblW w:type="pct" w:w="5000"/>
        <w:tblLayout w:type="fixed"/>
        <w:tblLook w:firstRow="0" w:lastRow="0" w:firstColumn="0" w:lastColumn="0" w:noHBand="0" w:noVBand="0" w:val="0000"/>
      </w:tblPr>
      <w:tblGrid>
        <w:gridCol w:w="7920"/>
      </w:tblGrid>
      <w:tr>
        <w:tc>
          <w:tcPr/>
          <w:bookmarkStart w:id="334" w:name="fig-therapy-examples-supp-dementia"/>
          <w:p>
            <w:pPr>
              <w:pStyle w:val="Compact"/>
              <w:jc w:val="center"/>
            </w:pPr>
            <w:r>
              <w:drawing>
                <wp:inline>
                  <wp:extent cx="5334000" cy="3471514"/>
                  <wp:effectExtent b="0" l="0" r="0" t="0"/>
                  <wp:docPr descr="" title="" id="332" name="Picture"/>
                  <a:graphic>
                    <a:graphicData uri="http://schemas.openxmlformats.org/drawingml/2006/picture">
                      <pic:pic>
                        <pic:nvPicPr>
                          <pic:cNvPr descr="img/fig-therapy-examples-supp/dementia.png" id="333" name="Picture"/>
                          <pic:cNvPicPr>
                            <a:picLocks noChangeArrowheads="1" noChangeAspect="1"/>
                          </pic:cNvPicPr>
                        </pic:nvPicPr>
                        <pic:blipFill>
                          <a:blip r:embed="rId331"/>
                          <a:stretch>
                            <a:fillRect/>
                          </a:stretch>
                        </pic:blipFill>
                        <pic:spPr bwMode="auto">
                          <a:xfrm>
                            <a:off x="0" y="0"/>
                            <a:ext cx="5334000" cy="3471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S11:</w:t>
            </w:r>
            <w:r>
              <w:t xml:space="preserve"> </w:t>
            </w:r>
            <w:r>
              <w:rPr>
                <w:b/>
                <w:bCs/>
              </w:rPr>
              <w:t xml:space="preserve">Causal multi-scale network for dementia phenotypes.</w:t>
            </w:r>
          </w:p>
          <w:bookmarkEnd w:id="334"/>
        </w:tc>
      </w:tr>
    </w:tbl>
    <w:p>
      <w:r>
        <w:br w:type="page"/>
      </w:r>
    </w:p>
    <w:tbl>
      <w:tblPr>
        <w:tblStyle w:val="Table"/>
        <w:tblW w:type="pct" w:w="5000"/>
        <w:tblLayout w:type="fixed"/>
        <w:tblLook w:firstRow="0" w:lastRow="0" w:firstColumn="0" w:lastColumn="0" w:noHBand="0" w:noVBand="0" w:val="0000"/>
      </w:tblPr>
      <w:tblGrid>
        <w:gridCol w:w="7920"/>
      </w:tblGrid>
      <w:tr>
        <w:tc>
          <w:tcPr/>
          <w:bookmarkStart w:id="338" w:name="fig-therapy-examples-supp-lsd"/>
          <w:p>
            <w:pPr>
              <w:pStyle w:val="Compact"/>
              <w:jc w:val="center"/>
            </w:pPr>
            <w:r>
              <w:drawing>
                <wp:inline>
                  <wp:extent cx="5334000" cy="3839955"/>
                  <wp:effectExtent b="0" l="0" r="0" t="0"/>
                  <wp:docPr descr="" title="" id="336" name="Picture"/>
                  <a:graphic>
                    <a:graphicData uri="http://schemas.openxmlformats.org/drawingml/2006/picture">
                      <pic:pic>
                        <pic:nvPicPr>
                          <pic:cNvPr descr="img/fig-therapy-examples-supp/lethal_skeletal_dysplasia.png" id="337" name="Picture"/>
                          <pic:cNvPicPr>
                            <a:picLocks noChangeArrowheads="1" noChangeAspect="1"/>
                          </pic:cNvPicPr>
                        </pic:nvPicPr>
                        <pic:blipFill>
                          <a:blip r:embed="rId335"/>
                          <a:stretch>
                            <a:fillRect/>
                          </a:stretch>
                        </pic:blipFill>
                        <pic:spPr bwMode="auto">
                          <a:xfrm>
                            <a:off x="0" y="0"/>
                            <a:ext cx="5334000" cy="3839955"/>
                          </a:xfrm>
                          <a:prstGeom prst="rect">
                            <a:avLst/>
                          </a:prstGeom>
                          <a:noFill/>
                          <a:ln w="9525">
                            <a:noFill/>
                            <a:headEnd/>
                            <a:tailEnd/>
                          </a:ln>
                        </pic:spPr>
                      </pic:pic>
                    </a:graphicData>
                  </a:graphic>
                </wp:inline>
              </w:drawing>
            </w:r>
          </w:p>
          <w:p>
            <w:pPr>
              <w:jc w:val="center"/>
            </w:pPr>
            <w:pPr>
              <w:jc w:val="left"/>
              <w:spacing w:before="200"/>
              <w:pStyle w:val="ImageCaption"/>
            </w:pPr>
            <w:r>
              <w:t xml:space="preserve">Figure S12:</w:t>
            </w:r>
            <w:r>
              <w:t xml:space="preserve"> </w:t>
            </w:r>
            <w:r>
              <w:rPr>
                <w:b/>
                <w:bCs/>
              </w:rPr>
              <w:t xml:space="preserve">Causal multi-scale network for the phenotype lethal skeletal dysplasia.</w:t>
            </w:r>
          </w:p>
          <w:bookmarkEnd w:id="338"/>
        </w:tc>
      </w:tr>
    </w:tbl>
    <w:p>
      <w:r>
        <w:br w:type="page"/>
      </w:r>
    </w:p>
    <w:tbl>
      <w:tblPr>
        <w:tblStyle w:val="Table"/>
        <w:tblW w:type="pct" w:w="5000"/>
        <w:tblLayout w:type="fixed"/>
        <w:tblLook w:firstRow="0" w:lastRow="0" w:firstColumn="0" w:lastColumn="0" w:noHBand="0" w:noVBand="0" w:val="0000"/>
      </w:tblPr>
      <w:tblGrid>
        <w:gridCol w:w="7920"/>
      </w:tblGrid>
      <w:tr>
        <w:tc>
          <w:tcPr/>
          <w:bookmarkStart w:id="342" w:name="fig-therapy-examples-supp-svd"/>
          <w:p>
            <w:pPr>
              <w:pStyle w:val="Compact"/>
              <w:jc w:val="center"/>
            </w:pPr>
            <w:r>
              <w:drawing>
                <wp:inline>
                  <wp:extent cx="5334000" cy="3347876"/>
                  <wp:effectExtent b="0" l="0" r="0" t="0"/>
                  <wp:docPr descr="" title="" id="340" name="Picture"/>
                  <a:graphic>
                    <a:graphicData uri="http://schemas.openxmlformats.org/drawingml/2006/picture">
                      <pic:pic>
                        <pic:nvPicPr>
                          <pic:cNvPr descr="img/fig-therapy-examples-supp/small_vessel_disease.png" id="341" name="Picture"/>
                          <pic:cNvPicPr>
                            <a:picLocks noChangeArrowheads="1" noChangeAspect="1"/>
                          </pic:cNvPicPr>
                        </pic:nvPicPr>
                        <pic:blipFill>
                          <a:blip r:embed="rId339"/>
                          <a:stretch>
                            <a:fillRect/>
                          </a:stretch>
                        </pic:blipFill>
                        <pic:spPr bwMode="auto">
                          <a:xfrm>
                            <a:off x="0" y="0"/>
                            <a:ext cx="5334000" cy="3347876"/>
                          </a:xfrm>
                          <a:prstGeom prst="rect">
                            <a:avLst/>
                          </a:prstGeom>
                          <a:noFill/>
                          <a:ln w="9525">
                            <a:noFill/>
                            <a:headEnd/>
                            <a:tailEnd/>
                          </a:ln>
                        </pic:spPr>
                      </pic:pic>
                    </a:graphicData>
                  </a:graphic>
                </wp:inline>
              </w:drawing>
            </w:r>
          </w:p>
          <w:p>
            <w:pPr>
              <w:jc w:val="center"/>
            </w:pPr>
            <w:pPr>
              <w:jc w:val="left"/>
              <w:spacing w:before="200"/>
              <w:pStyle w:val="ImageCaption"/>
            </w:pPr>
            <w:r>
              <w:t xml:space="preserve">Figure S13:</w:t>
            </w:r>
            <w:r>
              <w:t xml:space="preserve"> </w:t>
            </w:r>
            <w:r>
              <w:rPr>
                <w:b/>
                <w:bCs/>
              </w:rPr>
              <w:t xml:space="preserve">Causal multi-scale network for phenotypes associated with small vessel disease.</w:t>
            </w:r>
          </w:p>
          <w:bookmarkEnd w:id="342"/>
        </w:tc>
      </w:tr>
    </w:tbl>
    <w:p>
      <w:r>
        <w:br w:type="page"/>
      </w:r>
    </w:p>
    <w:tbl>
      <w:tblPr>
        <w:tblStyle w:val="Table"/>
        <w:tblW w:type="pct" w:w="5000"/>
        <w:tblLayout w:type="fixed"/>
        <w:tblLook w:firstRow="0" w:lastRow="0" w:firstColumn="0" w:lastColumn="0" w:noHBand="0" w:noVBand="0" w:val="0000"/>
      </w:tblPr>
      <w:tblGrid>
        <w:gridCol w:w="7920"/>
      </w:tblGrid>
      <w:tr>
        <w:tc>
          <w:tcPr/>
          <w:bookmarkStart w:id="346" w:name="fig-therapy-examples-supp-pd"/>
          <w:p>
            <w:pPr>
              <w:pStyle w:val="Compact"/>
              <w:jc w:val="center"/>
            </w:pPr>
            <w:r>
              <w:drawing>
                <wp:inline>
                  <wp:extent cx="5334000" cy="3764280"/>
                  <wp:effectExtent b="0" l="0" r="0" t="0"/>
                  <wp:docPr descr="" title="" id="344" name="Picture"/>
                  <a:graphic>
                    <a:graphicData uri="http://schemas.openxmlformats.org/drawingml/2006/picture">
                      <pic:pic>
                        <pic:nvPicPr>
                          <pic:cNvPr descr="img/fig-therapy-examples-supp/parkinson.png" id="345" name="Picture"/>
                          <pic:cNvPicPr>
                            <a:picLocks noChangeArrowheads="1" noChangeAspect="1"/>
                          </pic:cNvPicPr>
                        </pic:nvPicPr>
                        <pic:blipFill>
                          <a:blip r:embed="rId343"/>
                          <a:stretch>
                            <a:fillRect/>
                          </a:stretch>
                        </pic:blipFill>
                        <pic:spPr bwMode="auto">
                          <a:xfrm>
                            <a:off x="0" y="0"/>
                            <a:ext cx="5334000" cy="3764280"/>
                          </a:xfrm>
                          <a:prstGeom prst="rect">
                            <a:avLst/>
                          </a:prstGeom>
                          <a:noFill/>
                          <a:ln w="9525">
                            <a:noFill/>
                            <a:headEnd/>
                            <a:tailEnd/>
                          </a:ln>
                        </pic:spPr>
                      </pic:pic>
                    </a:graphicData>
                  </a:graphic>
                </wp:inline>
              </w:drawing>
            </w:r>
          </w:p>
          <w:p>
            <w:pPr>
              <w:jc w:val="center"/>
            </w:pPr>
            <w:pPr>
              <w:jc w:val="left"/>
              <w:spacing w:before="200"/>
              <w:pStyle w:val="ImageCaption"/>
            </w:pPr>
            <w:r>
              <w:t xml:space="preserve">Figure S14:</w:t>
            </w:r>
            <w:r>
              <w:t xml:space="preserve"> </w:t>
            </w:r>
            <w:r>
              <w:rPr>
                <w:b/>
                <w:bCs/>
              </w:rPr>
              <w:t xml:space="preserve">Causal multi-scale network for phenotypes associated with various subtypes of Parkinson’s disease.</w:t>
            </w:r>
          </w:p>
          <w:bookmarkEnd w:id="346"/>
        </w:tc>
      </w:tr>
    </w:tbl>
    <w:p>
      <w:r>
        <w:br w:type="page"/>
      </w:r>
    </w:p>
    <w:tbl>
      <w:tblPr>
        <w:tblStyle w:val="Table"/>
        <w:tblW w:type="pct" w:w="5000"/>
        <w:tblLayout w:type="fixed"/>
        <w:tblLook w:firstRow="0" w:lastRow="0" w:firstColumn="0" w:lastColumn="0" w:noHBand="0" w:noVBand="0" w:val="0000"/>
      </w:tblPr>
      <w:tblGrid>
        <w:gridCol w:w="7920"/>
      </w:tblGrid>
      <w:tr>
        <w:tc>
          <w:tcPr/>
          <w:bookmarkStart w:id="350" w:name="fig-therapy-examples-supp-ad"/>
          <w:p>
            <w:pPr>
              <w:pStyle w:val="Compact"/>
              <w:jc w:val="center"/>
            </w:pPr>
            <w:r>
              <w:drawing>
                <wp:inline>
                  <wp:extent cx="5334000" cy="3265054"/>
                  <wp:effectExtent b="0" l="0" r="0" t="0"/>
                  <wp:docPr descr="" title="" id="348" name="Picture"/>
                  <a:graphic>
                    <a:graphicData uri="http://schemas.openxmlformats.org/drawingml/2006/picture">
                      <pic:pic>
                        <pic:nvPicPr>
                          <pic:cNvPr descr="img/fig-therapy-examples-supp/alzheimer.png" id="349" name="Picture"/>
                          <pic:cNvPicPr>
                            <a:picLocks noChangeArrowheads="1" noChangeAspect="1"/>
                          </pic:cNvPicPr>
                        </pic:nvPicPr>
                        <pic:blipFill>
                          <a:blip r:embed="rId347"/>
                          <a:stretch>
                            <a:fillRect/>
                          </a:stretch>
                        </pic:blipFill>
                        <pic:spPr bwMode="auto">
                          <a:xfrm>
                            <a:off x="0" y="0"/>
                            <a:ext cx="5334000" cy="3265054"/>
                          </a:xfrm>
                          <a:prstGeom prst="rect">
                            <a:avLst/>
                          </a:prstGeom>
                          <a:noFill/>
                          <a:ln w="9525">
                            <a:noFill/>
                            <a:headEnd/>
                            <a:tailEnd/>
                          </a:ln>
                        </pic:spPr>
                      </pic:pic>
                    </a:graphicData>
                  </a:graphic>
                </wp:inline>
              </w:drawing>
            </w:r>
          </w:p>
          <w:p>
            <w:pPr>
              <w:jc w:val="center"/>
            </w:pPr>
            <w:pPr>
              <w:jc w:val="left"/>
              <w:spacing w:before="200"/>
              <w:pStyle w:val="ImageCaption"/>
            </w:pPr>
            <w:r>
              <w:t xml:space="preserve">Figure S15:</w:t>
            </w:r>
            <w:r>
              <w:t xml:space="preserve"> </w:t>
            </w:r>
            <w:r>
              <w:rPr>
                <w:b/>
                <w:bCs/>
              </w:rPr>
              <w:t xml:space="preserve">Causal multi-scale network for phenotypes associated with various subtypes of Alzheimer’s disease.</w:t>
            </w:r>
          </w:p>
          <w:bookmarkEnd w:id="350"/>
        </w:tc>
      </w:tr>
    </w:tbl>
    <w:p>
      <w:r>
        <w:br w:type="page"/>
      </w:r>
    </w:p>
    <w:tbl>
      <w:tblPr>
        <w:tblStyle w:val="Table"/>
        <w:tblW w:type="pct" w:w="5000"/>
        <w:tblLayout w:type="fixed"/>
        <w:tblLook w:firstRow="0" w:lastRow="0" w:firstColumn="0" w:lastColumn="0" w:noHBand="0" w:noVBand="0" w:val="0000"/>
      </w:tblPr>
      <w:tblGrid>
        <w:gridCol w:w="7920"/>
      </w:tblGrid>
      <w:tr>
        <w:tc>
          <w:tcPr/>
          <w:bookmarkStart w:id="354" w:name="fig-therapy-examples-supp-als"/>
          <w:p>
            <w:pPr>
              <w:pStyle w:val="Compact"/>
              <w:jc w:val="center"/>
            </w:pPr>
            <w:r>
              <w:drawing>
                <wp:inline>
                  <wp:extent cx="5334000" cy="3401102"/>
                  <wp:effectExtent b="0" l="0" r="0" t="0"/>
                  <wp:docPr descr="" title="" id="352" name="Picture"/>
                  <a:graphic>
                    <a:graphicData uri="http://schemas.openxmlformats.org/drawingml/2006/picture">
                      <pic:pic>
                        <pic:nvPicPr>
                          <pic:cNvPr descr="img/fig-therapy-examples-supp/als.png" id="353" name="Picture"/>
                          <pic:cNvPicPr>
                            <a:picLocks noChangeArrowheads="1" noChangeAspect="1"/>
                          </pic:cNvPicPr>
                        </pic:nvPicPr>
                        <pic:blipFill>
                          <a:blip r:embed="rId351"/>
                          <a:stretch>
                            <a:fillRect/>
                          </a:stretch>
                        </pic:blipFill>
                        <pic:spPr bwMode="auto">
                          <a:xfrm>
                            <a:off x="0" y="0"/>
                            <a:ext cx="5334000" cy="3401102"/>
                          </a:xfrm>
                          <a:prstGeom prst="rect">
                            <a:avLst/>
                          </a:prstGeom>
                          <a:noFill/>
                          <a:ln w="9525">
                            <a:noFill/>
                            <a:headEnd/>
                            <a:tailEnd/>
                          </a:ln>
                        </pic:spPr>
                      </pic:pic>
                    </a:graphicData>
                  </a:graphic>
                </wp:inline>
              </w:drawing>
            </w:r>
          </w:p>
          <w:p>
            <w:pPr>
              <w:jc w:val="center"/>
            </w:pPr>
            <w:pPr>
              <w:jc w:val="left"/>
              <w:spacing w:before="200"/>
              <w:pStyle w:val="ImageCaption"/>
            </w:pPr>
            <w:r>
              <w:t xml:space="preserve">Figure S16:</w:t>
            </w:r>
            <w:r>
              <w:t xml:space="preserve"> </w:t>
            </w:r>
            <w:r>
              <w:rPr>
                <w:b/>
                <w:bCs/>
              </w:rPr>
              <w:t xml:space="preserve">Causal multi-scale network for phenotypes associated with Amyotrophic Lateral Sclerosis (ALS).</w:t>
            </w:r>
          </w:p>
          <w:bookmarkEnd w:id="354"/>
        </w:tc>
      </w:tr>
    </w:tbl>
    <w:bookmarkEnd w:id="355"/>
    <w:bookmarkStart w:id="367" w:name="supplementary-tables"/>
    <w:p>
      <w:pPr>
        <w:pStyle w:val="Heading3"/>
      </w:pPr>
      <w:r>
        <w:t xml:space="preserve">Supplementary Tables</w:t>
      </w:r>
    </w:p>
    <w:tbl>
      <w:tblPr>
        <w:tblStyle w:val="Table"/>
        <w:tblW w:type="pct" w:w="5000"/>
        <w:tblLayout w:type="fixed"/>
        <w:tblLook w:firstRow="0" w:lastRow="0" w:firstColumn="0" w:lastColumn="0" w:noHBand="0" w:noVBand="0" w:val="0000"/>
      </w:tblPr>
      <w:tblGrid>
        <w:gridCol w:w="7920"/>
      </w:tblGrid>
      <w:tr>
        <w:tc>
          <w:tcPr/>
          <w:bookmarkStart w:id="356" w:name="tbl-mappings"/>
          <w:p>
            <w:pPr>
              <w:jc w:val="center"/>
            </w:pPr>
            <w:pPr>
              <w:jc w:val="left"/>
              <w:spacing w:before="200"/>
              <w:pStyle w:val="ImageCaption"/>
            </w:pPr>
            <w:r>
              <w:t xml:space="preserve">Table S1:</w:t>
            </w:r>
            <w:r>
              <w:t xml:space="preserve"> </w:t>
            </w:r>
            <w:r>
              <w:rPr>
                <w:b/>
                <w:bCs/>
              </w:rPr>
              <w:t xml:space="preserve">Mappings between HPO phenotypes and other medical ontologies.</w:t>
            </w:r>
            <w:r>
              <w:t xml:space="preserve"> </w:t>
            </w:r>
            <w:r>
              <w:t xml:space="preserve">“source”</w:t>
            </w:r>
            <w:r>
              <w:t xml:space="preserve"> </w:t>
            </w:r>
            <w:r>
              <w:t xml:space="preserve">indicates the medical ontology and</w:t>
            </w:r>
            <w:r>
              <w:t xml:space="preserve"> </w:t>
            </w:r>
            <w:r>
              <w:t xml:space="preserve">“distance”</w:t>
            </w:r>
            <w:r>
              <w:t xml:space="preserve"> </w:t>
            </w:r>
            <w:r>
              <w:t xml:space="preserve">indicates the cross-ontology distance.</w:t>
            </w:r>
            <w:r>
              <w:t xml:space="preserve"> </w:t>
            </w:r>
            <w:r>
              <w:t xml:space="preserve">“source terms”</w:t>
            </w:r>
            <w:r>
              <w:t xml:space="preserve"> </w:t>
            </w:r>
            <w:r>
              <w:t xml:space="preserve">and</w:t>
            </w:r>
            <w:r>
              <w:t xml:space="preserve"> </w:t>
            </w:r>
            <w:r>
              <w:t xml:space="preserve">“HPO terms”</w:t>
            </w:r>
            <w:r>
              <w:t xml:space="preserve"> </w:t>
            </w:r>
            <w:r>
              <w:t xml:space="preserve">indicates the number of unique IDs mapped from the source ontology and HPO respectively.</w:t>
            </w:r>
            <w:r>
              <w:t xml:space="preserve"> </w:t>
            </w:r>
            <w:r>
              <w:t xml:space="preserve">“mappings”</w:t>
            </w:r>
            <w:r>
              <w:t xml:space="preserve"> </w:t>
            </w:r>
            <w:r>
              <w:t xml:space="preserve">is the total number of cross-ontology mappings within a given distance.</w:t>
            </w:r>
            <w:r>
              <w:t xml:space="preserve"> </w:t>
            </w:r>
            <w:r>
              <w:t xml:space="preserve">Some IDs may have more than one mapping for a given source due to many-to-many relationships.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source</w:t>
                  </w:r>
                </w:p>
              </w:tc>
              <w:tc>
                <w:tcPr/>
                <w:p>
                  <w:pPr>
                    <w:pStyle w:val="Compact"/>
                    <w:jc w:val="right"/>
                    <w:jc w:val="center"/>
                  </w:pPr>
                  <w:r>
                    <w:t xml:space="preserve">distance</w:t>
                  </w:r>
                </w:p>
              </w:tc>
              <w:tc>
                <w:tcPr/>
                <w:p>
                  <w:pPr>
                    <w:pStyle w:val="Compact"/>
                    <w:jc w:val="right"/>
                    <w:jc w:val="center"/>
                  </w:pPr>
                  <w:r>
                    <w:t xml:space="preserve">source terms</w:t>
                  </w:r>
                </w:p>
              </w:tc>
              <w:tc>
                <w:tcPr/>
                <w:p>
                  <w:pPr>
                    <w:pStyle w:val="Compact"/>
                    <w:jc w:val="right"/>
                    <w:jc w:val="center"/>
                  </w:pPr>
                  <w:r>
                    <w:t xml:space="preserve">HPO terms</w:t>
                  </w:r>
                </w:p>
              </w:tc>
              <w:tc>
                <w:tcPr/>
                <w:p>
                  <w:pPr>
                    <w:pStyle w:val="Compact"/>
                    <w:jc w:val="right"/>
                    <w:jc w:val="center"/>
                  </w:pPr>
                  <w:r>
                    <w:t xml:space="preserve">mappings</w:t>
                  </w:r>
                </w:p>
              </w:tc>
            </w:tr>
            <w:tr>
              <w:tc>
                <w:tcPr/>
                <w:p>
                  <w:pPr>
                    <w:pStyle w:val="Compact"/>
                    <w:jc w:val="left"/>
                    <w:jc w:val="center"/>
                  </w:pPr>
                  <w:r>
                    <w:t xml:space="preserve">ICD10</w:t>
                  </w:r>
                </w:p>
              </w:tc>
              <w:tc>
                <w:tcPr/>
                <w:p>
                  <w:pPr>
                    <w:pStyle w:val="Compact"/>
                    <w:jc w:val="right"/>
                    <w:jc w:val="center"/>
                  </w:pPr>
                  <w:r>
                    <w:t xml:space="preserve">2</w:t>
                  </w:r>
                </w:p>
              </w:tc>
              <w:tc>
                <w:tcPr/>
                <w:p>
                  <w:pPr>
                    <w:pStyle w:val="Compact"/>
                    <w:jc w:val="right"/>
                    <w:jc w:val="center"/>
                  </w:pPr>
                  <w:r>
                    <w:t xml:space="preserve">25</w:t>
                  </w:r>
                </w:p>
              </w:tc>
              <w:tc>
                <w:tcPr/>
                <w:p>
                  <w:pPr>
                    <w:pStyle w:val="Compact"/>
                    <w:jc w:val="right"/>
                    <w:jc w:val="center"/>
                  </w:pPr>
                  <w:r>
                    <w:t xml:space="preserve">23</w:t>
                  </w:r>
                </w:p>
              </w:tc>
              <w:tc>
                <w:tcPr/>
                <w:p>
                  <w:pPr>
                    <w:pStyle w:val="Compact"/>
                    <w:jc w:val="right"/>
                    <w:jc w:val="center"/>
                  </w:pPr>
                  <w:r>
                    <w:t xml:space="preserve">25</w:t>
                  </w:r>
                </w:p>
              </w:tc>
            </w:tr>
            <w:tr>
              <w:tc>
                <w:tcPr/>
                <w:p>
                  <w:pPr>
                    <w:pStyle w:val="Compact"/>
                    <w:jc w:val="left"/>
                    <w:jc w:val="center"/>
                  </w:pPr>
                  <w:r>
                    <w:t xml:space="preserve">ICD10</w:t>
                  </w:r>
                </w:p>
              </w:tc>
              <w:tc>
                <w:tcPr/>
                <w:p>
                  <w:pPr>
                    <w:pStyle w:val="Compact"/>
                    <w:jc w:val="right"/>
                    <w:jc w:val="center"/>
                  </w:pPr>
                  <w:r>
                    <w:t xml:space="preserve">3</w:t>
                  </w:r>
                </w:p>
              </w:tc>
              <w:tc>
                <w:tcPr/>
                <w:p>
                  <w:pPr>
                    <w:pStyle w:val="Compact"/>
                    <w:jc w:val="right"/>
                    <w:jc w:val="center"/>
                  </w:pPr>
                  <w:r>
                    <w:t xml:space="preserve">839</w:t>
                  </w:r>
                </w:p>
              </w:tc>
              <w:tc>
                <w:tcPr/>
                <w:p>
                  <w:pPr>
                    <w:pStyle w:val="Compact"/>
                    <w:jc w:val="right"/>
                    <w:jc w:val="center"/>
                  </w:pPr>
                  <w:r>
                    <w:t xml:space="preserve">876</w:t>
                  </w:r>
                </w:p>
              </w:tc>
              <w:tc>
                <w:tcPr/>
                <w:p>
                  <w:pPr>
                    <w:pStyle w:val="Compact"/>
                    <w:jc w:val="right"/>
                    <w:jc w:val="center"/>
                  </w:pPr>
                  <w:r>
                    <w:t xml:space="preserve">1170</w:t>
                  </w:r>
                </w:p>
              </w:tc>
            </w:tr>
            <w:tr>
              <w:tc>
                <w:tcPr/>
                <w:p>
                  <w:pPr>
                    <w:pStyle w:val="Compact"/>
                    <w:jc w:val="left"/>
                    <w:jc w:val="center"/>
                  </w:pPr>
                  <w:r>
                    <w:t xml:space="preserve">ICD9</w:t>
                  </w:r>
                </w:p>
              </w:tc>
              <w:tc>
                <w:tcPr/>
                <w:p>
                  <w:pPr>
                    <w:pStyle w:val="Compact"/>
                    <w:jc w:val="right"/>
                    <w:jc w:val="center"/>
                  </w:pPr>
                  <w:r>
                    <w:t xml:space="preserve">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r>
            <w:tr>
              <w:tc>
                <w:tcPr/>
                <w:p>
                  <w:pPr>
                    <w:pStyle w:val="Compact"/>
                    <w:jc w:val="left"/>
                    <w:jc w:val="center"/>
                  </w:pPr>
                  <w:r>
                    <w:t xml:space="preserve">ICD9</w:t>
                  </w:r>
                </w:p>
              </w:tc>
              <w:tc>
                <w:tcPr/>
                <w:p>
                  <w:pPr>
                    <w:pStyle w:val="Compact"/>
                    <w:jc w:val="right"/>
                    <w:jc w:val="center"/>
                  </w:pPr>
                  <w:r>
                    <w:t xml:space="preserve">2</w:t>
                  </w:r>
                </w:p>
              </w:tc>
              <w:tc>
                <w:tcPr/>
                <w:p>
                  <w:pPr>
                    <w:pStyle w:val="Compact"/>
                    <w:jc w:val="right"/>
                    <w:jc w:val="center"/>
                  </w:pPr>
                  <w:r>
                    <w:t xml:space="preserve">434</w:t>
                  </w:r>
                </w:p>
              </w:tc>
              <w:tc>
                <w:tcPr/>
                <w:p>
                  <w:pPr>
                    <w:pStyle w:val="Compact"/>
                    <w:jc w:val="right"/>
                    <w:jc w:val="center"/>
                  </w:pPr>
                  <w:r>
                    <w:t xml:space="preserve">306</w:t>
                  </w:r>
                </w:p>
              </w:tc>
              <w:tc>
                <w:tcPr/>
                <w:p>
                  <w:pPr>
                    <w:pStyle w:val="Compact"/>
                    <w:jc w:val="right"/>
                    <w:jc w:val="center"/>
                  </w:pPr>
                  <w:r>
                    <w:t xml:space="preserve">462</w:t>
                  </w:r>
                </w:p>
              </w:tc>
            </w:tr>
            <w:tr>
              <w:tc>
                <w:tcPr/>
                <w:p>
                  <w:pPr>
                    <w:pStyle w:val="Compact"/>
                    <w:jc w:val="left"/>
                    <w:jc w:val="center"/>
                  </w:pPr>
                  <w:r>
                    <w:t xml:space="preserve">ICD9</w:t>
                  </w:r>
                </w:p>
              </w:tc>
              <w:tc>
                <w:tcPr/>
                <w:p>
                  <w:pPr>
                    <w:pStyle w:val="Compact"/>
                    <w:jc w:val="right"/>
                    <w:jc w:val="center"/>
                  </w:pPr>
                  <w:r>
                    <w:t xml:space="preserve">3</w:t>
                  </w:r>
                </w:p>
              </w:tc>
              <w:tc>
                <w:tcPr/>
                <w:p>
                  <w:pPr>
                    <w:pStyle w:val="Compact"/>
                    <w:jc w:val="right"/>
                    <w:jc w:val="center"/>
                  </w:pPr>
                  <w:r>
                    <w:t xml:space="preserve">1052</w:t>
                  </w:r>
                </w:p>
              </w:tc>
              <w:tc>
                <w:tcPr/>
                <w:p>
                  <w:pPr>
                    <w:pStyle w:val="Compact"/>
                    <w:jc w:val="right"/>
                    <w:jc w:val="center"/>
                  </w:pPr>
                  <w:r>
                    <w:t xml:space="preserve">920</w:t>
                  </w:r>
                </w:p>
              </w:tc>
              <w:tc>
                <w:tcPr/>
                <w:p>
                  <w:pPr>
                    <w:pStyle w:val="Compact"/>
                    <w:jc w:val="right"/>
                    <w:jc w:val="center"/>
                  </w:pPr>
                  <w:r>
                    <w:t xml:space="preserve">1816</w:t>
                  </w:r>
                </w:p>
              </w:tc>
            </w:tr>
            <w:tr>
              <w:tc>
                <w:tcPr/>
                <w:p>
                  <w:pPr>
                    <w:pStyle w:val="Compact"/>
                    <w:jc w:val="left"/>
                    <w:jc w:val="center"/>
                  </w:pPr>
                  <w:r>
                    <w:t xml:space="preserve">SNOMED</w:t>
                  </w:r>
                </w:p>
              </w:tc>
              <w:tc>
                <w:tcPr/>
                <w:p>
                  <w:pPr>
                    <w:pStyle w:val="Compact"/>
                    <w:jc w:val="right"/>
                    <w:jc w:val="center"/>
                  </w:pPr>
                  <w:r>
                    <w:t xml:space="preserve">1</w:t>
                  </w:r>
                </w:p>
              </w:tc>
              <w:tc>
                <w:tcPr/>
                <w:p>
                  <w:pPr>
                    <w:pStyle w:val="Compact"/>
                    <w:jc w:val="right"/>
                    <w:jc w:val="center"/>
                  </w:pPr>
                  <w:r>
                    <w:t xml:space="preserve">4413</w:t>
                  </w:r>
                </w:p>
              </w:tc>
              <w:tc>
                <w:tcPr/>
                <w:p>
                  <w:pPr>
                    <w:pStyle w:val="Compact"/>
                    <w:jc w:val="right"/>
                    <w:jc w:val="center"/>
                  </w:pPr>
                  <w:r>
                    <w:t xml:space="preserve">3483</w:t>
                  </w:r>
                </w:p>
              </w:tc>
              <w:tc>
                <w:tcPr/>
                <w:p>
                  <w:pPr>
                    <w:pStyle w:val="Compact"/>
                    <w:jc w:val="right"/>
                    <w:jc w:val="center"/>
                  </w:pPr>
                  <w:r>
                    <w:t xml:space="preserve">4654</w:t>
                  </w:r>
                </w:p>
              </w:tc>
            </w:tr>
            <w:tr>
              <w:tc>
                <w:tcPr/>
                <w:p>
                  <w:pPr>
                    <w:pStyle w:val="Compact"/>
                    <w:jc w:val="left"/>
                    <w:jc w:val="center"/>
                  </w:pPr>
                  <w:r>
                    <w:t xml:space="preserve">SNOMED</w:t>
                  </w:r>
                </w:p>
              </w:tc>
              <w:tc>
                <w:tcPr/>
                <w:p>
                  <w:pPr>
                    <w:pStyle w:val="Compact"/>
                    <w:jc w:val="right"/>
                    <w:jc w:val="center"/>
                  </w:pPr>
                  <w:r>
                    <w:t xml:space="preserve">2</w:t>
                  </w:r>
                </w:p>
              </w:tc>
              <w:tc>
                <w:tcPr/>
                <w:p>
                  <w:pPr>
                    <w:pStyle w:val="Compact"/>
                    <w:jc w:val="right"/>
                    <w:jc w:val="center"/>
                  </w:pPr>
                  <w:r>
                    <w:t xml:space="preserve">75</w:t>
                  </w:r>
                </w:p>
              </w:tc>
              <w:tc>
                <w:tcPr/>
                <w:p>
                  <w:pPr>
                    <w:pStyle w:val="Compact"/>
                    <w:jc w:val="right"/>
                    <w:jc w:val="center"/>
                  </w:pPr>
                  <w:r>
                    <w:t xml:space="preserve">21</w:t>
                  </w:r>
                </w:p>
              </w:tc>
              <w:tc>
                <w:tcPr/>
                <w:p>
                  <w:pPr>
                    <w:pStyle w:val="Compact"/>
                    <w:jc w:val="right"/>
                    <w:jc w:val="center"/>
                  </w:pPr>
                  <w:r>
                    <w:t xml:space="preserve">78</w:t>
                  </w:r>
                </w:p>
              </w:tc>
            </w:tr>
            <w:tr>
              <w:tc>
                <w:tcPr/>
                <w:p>
                  <w:pPr>
                    <w:pStyle w:val="Compact"/>
                    <w:jc w:val="left"/>
                    <w:jc w:val="center"/>
                  </w:pPr>
                  <w:r>
                    <w:t xml:space="preserve">SNOMED</w:t>
                  </w:r>
                </w:p>
              </w:tc>
              <w:tc>
                <w:tcPr/>
                <w:p>
                  <w:pPr>
                    <w:pStyle w:val="Compact"/>
                    <w:jc w:val="right"/>
                    <w:jc w:val="center"/>
                  </w:pPr>
                  <w:r>
                    <w:t xml:space="preserve">3</w:t>
                  </w:r>
                </w:p>
              </w:tc>
              <w:tc>
                <w:tcPr/>
                <w:p>
                  <w:pPr>
                    <w:pStyle w:val="Compact"/>
                    <w:jc w:val="right"/>
                    <w:jc w:val="center"/>
                  </w:pPr>
                  <w:r>
                    <w:t xml:space="preserve">1796</w:t>
                  </w:r>
                </w:p>
              </w:tc>
              <w:tc>
                <w:tcPr/>
                <w:p>
                  <w:pPr>
                    <w:pStyle w:val="Compact"/>
                    <w:jc w:val="right"/>
                    <w:jc w:val="center"/>
                  </w:pPr>
                  <w:r>
                    <w:t xml:space="preserve">833</w:t>
                  </w:r>
                </w:p>
              </w:tc>
              <w:tc>
                <w:tcPr/>
                <w:p>
                  <w:pPr>
                    <w:pStyle w:val="Compact"/>
                    <w:jc w:val="right"/>
                    <w:jc w:val="center"/>
                  </w:pPr>
                  <w:r>
                    <w:t xml:space="preserve">9605</w:t>
                  </w:r>
                </w:p>
              </w:tc>
            </w:tr>
            <w:tr>
              <w:tc>
                <w:tcPr/>
                <w:p>
                  <w:pPr>
                    <w:pStyle w:val="Compact"/>
                    <w:jc w:val="left"/>
                    <w:jc w:val="center"/>
                  </w:pPr>
                  <w:r>
                    <w:t xml:space="preserve">UMLS</w:t>
                  </w:r>
                </w:p>
              </w:tc>
              <w:tc>
                <w:tcPr/>
                <w:p>
                  <w:pPr>
                    <w:pStyle w:val="Compact"/>
                    <w:jc w:val="right"/>
                    <w:jc w:val="center"/>
                  </w:pPr>
                  <w:r>
                    <w:t xml:space="preserve">1</w:t>
                  </w:r>
                </w:p>
              </w:tc>
              <w:tc>
                <w:tcPr/>
                <w:p>
                  <w:pPr>
                    <w:pStyle w:val="Compact"/>
                    <w:jc w:val="right"/>
                    <w:jc w:val="center"/>
                  </w:pPr>
                  <w:r>
                    <w:t xml:space="preserve">12898</w:t>
                  </w:r>
                </w:p>
              </w:tc>
              <w:tc>
                <w:tcPr/>
                <w:p>
                  <w:pPr>
                    <w:pStyle w:val="Compact"/>
                    <w:jc w:val="right"/>
                    <w:jc w:val="center"/>
                  </w:pPr>
                  <w:r>
                    <w:t xml:space="preserve">11601</w:t>
                  </w:r>
                </w:p>
              </w:tc>
              <w:tc>
                <w:tcPr/>
                <w:p>
                  <w:pPr>
                    <w:pStyle w:val="Compact"/>
                    <w:jc w:val="right"/>
                    <w:jc w:val="center"/>
                  </w:pPr>
                  <w:r>
                    <w:t xml:space="preserve">13049</w:t>
                  </w:r>
                </w:p>
              </w:tc>
            </w:tr>
            <w:tr>
              <w:tc>
                <w:tcPr/>
                <w:p>
                  <w:pPr>
                    <w:pStyle w:val="Compact"/>
                    <w:jc w:val="left"/>
                    <w:jc w:val="center"/>
                  </w:pPr>
                  <w:r>
                    <w:t xml:space="preserve">UMLS</w:t>
                  </w:r>
                </w:p>
              </w:tc>
              <w:tc>
                <w:tcPr/>
                <w:p>
                  <w:pPr>
                    <w:pStyle w:val="Compact"/>
                    <w:jc w:val="right"/>
                    <w:jc w:val="center"/>
                  </w:pPr>
                  <w:r>
                    <w:t xml:space="preserve">2</w:t>
                  </w:r>
                </w:p>
              </w:tc>
              <w:tc>
                <w:tcPr/>
                <w:p>
                  <w:pPr>
                    <w:pStyle w:val="Compact"/>
                    <w:jc w:val="right"/>
                    <w:jc w:val="center"/>
                  </w:pPr>
                  <w:r>
                    <w:t xml:space="preserve">140</w:t>
                  </w:r>
                </w:p>
              </w:tc>
              <w:tc>
                <w:tcPr/>
                <w:p>
                  <w:pPr>
                    <w:pStyle w:val="Compact"/>
                    <w:jc w:val="right"/>
                    <w:jc w:val="center"/>
                  </w:pPr>
                  <w:r>
                    <w:t xml:space="preserve">113</w:t>
                  </w:r>
                </w:p>
              </w:tc>
              <w:tc>
                <w:tcPr/>
                <w:p>
                  <w:pPr>
                    <w:pStyle w:val="Compact"/>
                    <w:jc w:val="right"/>
                    <w:jc w:val="center"/>
                  </w:pPr>
                  <w:r>
                    <w:t xml:space="preserve">142</w:t>
                  </w:r>
                </w:p>
              </w:tc>
            </w:tr>
            <w:tr>
              <w:tc>
                <w:tcPr/>
                <w:p>
                  <w:pPr>
                    <w:pStyle w:val="Compact"/>
                    <w:jc w:val="left"/>
                    <w:jc w:val="center"/>
                  </w:pPr>
                  <w:r>
                    <w:t xml:space="preserve">UMLS</w:t>
                  </w:r>
                </w:p>
              </w:tc>
              <w:tc>
                <w:tcPr/>
                <w:p>
                  <w:pPr>
                    <w:pStyle w:val="Compact"/>
                    <w:jc w:val="right"/>
                    <w:jc w:val="center"/>
                  </w:pPr>
                  <w:r>
                    <w:t xml:space="preserve">3</w:t>
                  </w:r>
                </w:p>
              </w:tc>
              <w:tc>
                <w:tcPr/>
                <w:p>
                  <w:pPr>
                    <w:pStyle w:val="Compact"/>
                    <w:jc w:val="right"/>
                    <w:jc w:val="center"/>
                  </w:pPr>
                  <w:r>
                    <w:t xml:space="preserve">1871</w:t>
                  </w:r>
                </w:p>
              </w:tc>
              <w:tc>
                <w:tcPr/>
                <w:p>
                  <w:pPr>
                    <w:pStyle w:val="Compact"/>
                    <w:jc w:val="right"/>
                    <w:jc w:val="center"/>
                  </w:pPr>
                  <w:r>
                    <w:t xml:space="preserve">1204</w:t>
                  </w:r>
                </w:p>
              </w:tc>
              <w:tc>
                <w:tcPr/>
                <w:p>
                  <w:pPr>
                    <w:pStyle w:val="Compact"/>
                    <w:jc w:val="right"/>
                    <w:jc w:val="center"/>
                  </w:pPr>
                  <w:r>
                    <w:t xml:space="preserve">11021</w:t>
                  </w:r>
                </w:p>
              </w:tc>
            </w:tr>
          </w:tbl>
          <w:bookmarkEnd w:id="356"/>
          <w:p/>
        </w:tc>
      </w:tr>
    </w:tbl>
    <w:p>
      <w:r>
        <w:br w:type="page"/>
      </w:r>
    </w:p>
    <w:tbl>
      <w:tblPr>
        <w:tblStyle w:val="Table"/>
        <w:tblW w:type="pct" w:w="5000"/>
        <w:tblLayout w:type="fixed"/>
        <w:tblLook w:firstRow="0" w:lastRow="0" w:firstColumn="0" w:lastColumn="0" w:noHBand="0" w:noVBand="0" w:val="0000"/>
      </w:tblPr>
      <w:tblGrid>
        <w:gridCol w:w="7920"/>
      </w:tblGrid>
      <w:tr>
        <w:tc>
          <w:tcPr/>
          <w:bookmarkStart w:id="357" w:name="tbl-summary"/>
          <w:p>
            <w:pPr>
              <w:jc w:val="center"/>
            </w:pPr>
            <w:pPr>
              <w:jc w:val="left"/>
              <w:spacing w:before="200"/>
              <w:pStyle w:val="ImageCaption"/>
            </w:pPr>
            <w:r>
              <w:t xml:space="preserve">Table S2:</w:t>
            </w:r>
            <w:r>
              <w:t xml:space="preserve"> </w:t>
            </w:r>
            <w:r>
              <w:rPr>
                <w:b/>
                <w:bCs/>
              </w:rPr>
              <w:t xml:space="preserve">Summary statistics of enrichment results stratified by single-cell atlas.</w:t>
            </w:r>
            <w:r>
              <w:t xml:space="preserve"> </w:t>
            </w:r>
            <w:r>
              <w:t xml:space="preserve">Summary statistics at multiple levels (tests, cell types, phenotypes, diseases, cell types per phenotype, phenotypes per cell type) stratified by the single-cell atlas that was used as a cell type signature reference (Descartes Human or Human Cell Landscape).</w:t>
            </w:r>
          </w:p>
          <w:tbl>
            <w:tblPr>
              <w:tblStyle w:val="Table"/>
              <w:tblW w:type="pct" w:w="5000"/>
              <w:tblLayout w:type="fixed"/>
              <w:tblLook w:firstRow="1" w:lastRow="0" w:firstColumn="0" w:lastColumn="0" w:noHBand="0" w:noVBand="0" w:val="0020"/>
            </w:tblPr>
            <w:tblGrid>
              <w:gridCol w:w="3452"/>
              <w:gridCol w:w="1523"/>
              <w:gridCol w:w="1929"/>
              <w:gridCol w:w="1015"/>
            </w:tblGrid>
            <w:tr>
              <w:trPr>
                <w:tblHeader w:val="on"/>
              </w:trPr>
              <w:tc>
                <w:tcPr/>
                <w:p>
                  <w:pPr>
                    <w:pStyle w:val="Compact"/>
                  </w:pPr>
                </w:p>
              </w:tc>
              <w:tc>
                <w:tcPr/>
                <w:p>
                  <w:pPr>
                    <w:pStyle w:val="Compact"/>
                    <w:jc w:val="left"/>
                    <w:jc w:val="center"/>
                  </w:pPr>
                  <w:r>
                    <w:t xml:space="preserve">DescartesHuman</w:t>
                  </w:r>
                </w:p>
              </w:tc>
              <w:tc>
                <w:tcPr/>
                <w:p>
                  <w:pPr>
                    <w:pStyle w:val="Compact"/>
                    <w:jc w:val="left"/>
                    <w:jc w:val="center"/>
                  </w:pPr>
                  <w:r>
                    <w:t xml:space="preserve">HumanCellLandscape</w:t>
                  </w:r>
                </w:p>
              </w:tc>
              <w:tc>
                <w:tcPr/>
                <w:p>
                  <w:pPr>
                    <w:pStyle w:val="Compact"/>
                    <w:jc w:val="left"/>
                    <w:jc w:val="center"/>
                  </w:pPr>
                  <w:r>
                    <w:t xml:space="preserve">all</w:t>
                  </w:r>
                </w:p>
              </w:tc>
            </w:tr>
            <w:tr>
              <w:tc>
                <w:tcPr/>
                <w:p>
                  <w:pPr>
                    <w:pStyle w:val="Compact"/>
                    <w:jc w:val="left"/>
                    <w:jc w:val="center"/>
                  </w:pPr>
                  <w:r>
                    <w:t xml:space="preserve">tests significant</w:t>
                  </w:r>
                </w:p>
              </w:tc>
              <w:tc>
                <w:tcPr/>
                <w:p>
                  <w:pPr>
                    <w:pStyle w:val="Compact"/>
                    <w:jc w:val="left"/>
                    <w:jc w:val="center"/>
                  </w:pPr>
                  <w:r>
                    <w:t xml:space="preserve">19,929</w:t>
                  </w:r>
                </w:p>
              </w:tc>
              <w:tc>
                <w:tcPr/>
                <w:p>
                  <w:pPr>
                    <w:pStyle w:val="Compact"/>
                    <w:jc w:val="left"/>
                    <w:jc w:val="center"/>
                  </w:pPr>
                  <w:r>
                    <w:t xml:space="preserve">26,585</w:t>
                  </w:r>
                </w:p>
              </w:tc>
              <w:tc>
                <w:tcPr/>
                <w:p>
                  <w:pPr>
                    <w:pStyle w:val="Compact"/>
                    <w:jc w:val="left"/>
                    <w:jc w:val="center"/>
                  </w:pPr>
                  <w:r>
                    <w:t xml:space="preserve">46,514</w:t>
                  </w:r>
                </w:p>
              </w:tc>
            </w:tr>
            <w:tr>
              <w:tc>
                <w:tcPr/>
                <w:p>
                  <w:pPr>
                    <w:pStyle w:val="Compact"/>
                    <w:jc w:val="left"/>
                    <w:jc w:val="center"/>
                  </w:pPr>
                  <w:r>
                    <w:t xml:space="preserve">tests</w:t>
                  </w:r>
                </w:p>
              </w:tc>
              <w:tc>
                <w:tcPr/>
                <w:p>
                  <w:pPr>
                    <w:pStyle w:val="Compact"/>
                    <w:jc w:val="left"/>
                    <w:jc w:val="center"/>
                  </w:pPr>
                  <w:r>
                    <w:t xml:space="preserve">848,078</w:t>
                  </w:r>
                </w:p>
              </w:tc>
              <w:tc>
                <w:tcPr/>
                <w:p>
                  <w:pPr>
                    <w:pStyle w:val="Compact"/>
                    <w:jc w:val="left"/>
                    <w:jc w:val="center"/>
                  </w:pPr>
                  <w:r>
                    <w:t xml:space="preserve">1,358,916</w:t>
                  </w:r>
                </w:p>
              </w:tc>
              <w:tc>
                <w:tcPr/>
                <w:p>
                  <w:pPr>
                    <w:pStyle w:val="Compact"/>
                    <w:jc w:val="left"/>
                    <w:jc w:val="center"/>
                  </w:pPr>
                  <w:r>
                    <w:t xml:space="preserve">2,206,994</w:t>
                  </w:r>
                </w:p>
              </w:tc>
            </w:tr>
            <w:tr>
              <w:tc>
                <w:tcPr/>
                <w:p>
                  <w:pPr>
                    <w:pStyle w:val="Compact"/>
                    <w:jc w:val="left"/>
                    <w:jc w:val="center"/>
                  </w:pPr>
                  <w:r>
                    <w:t xml:space="preserve">tests significant (%)</w:t>
                  </w:r>
                </w:p>
              </w:tc>
              <w:tc>
                <w:tcPr/>
                <w:p>
                  <w:pPr>
                    <w:pStyle w:val="Compact"/>
                    <w:jc w:val="left"/>
                    <w:jc w:val="center"/>
                  </w:pPr>
                  <w:r>
                    <w:t xml:space="preserve">2.35</w:t>
                  </w:r>
                </w:p>
              </w:tc>
              <w:tc>
                <w:tcPr/>
                <w:p>
                  <w:pPr>
                    <w:pStyle w:val="Compact"/>
                    <w:jc w:val="left"/>
                    <w:jc w:val="center"/>
                  </w:pPr>
                  <w:r>
                    <w:t xml:space="preserve">1.96</w:t>
                  </w:r>
                </w:p>
              </w:tc>
              <w:tc>
                <w:tcPr/>
                <w:p>
                  <w:pPr>
                    <w:pStyle w:val="Compact"/>
                    <w:jc w:val="left"/>
                    <w:jc w:val="center"/>
                  </w:pPr>
                  <w:r>
                    <w:t xml:space="preserve">2.11</w:t>
                  </w:r>
                </w:p>
              </w:tc>
            </w:tr>
            <w:tr>
              <w:tc>
                <w:tcPr/>
                <w:p>
                  <w:pPr>
                    <w:pStyle w:val="Compact"/>
                    <w:jc w:val="left"/>
                    <w:jc w:val="center"/>
                  </w:pPr>
                  <w:r>
                    <w:t xml:space="preserve">cell types significant</w:t>
                  </w:r>
                </w:p>
              </w:tc>
              <w:tc>
                <w:tcPr/>
                <w:p>
                  <w:pPr>
                    <w:pStyle w:val="Compact"/>
                    <w:jc w:val="left"/>
                    <w:jc w:val="center"/>
                  </w:pPr>
                  <w:r>
                    <w:t xml:space="preserve">77</w:t>
                  </w:r>
                </w:p>
              </w:tc>
              <w:tc>
                <w:tcPr/>
                <w:p>
                  <w:pPr>
                    <w:pStyle w:val="Compact"/>
                    <w:jc w:val="left"/>
                    <w:jc w:val="center"/>
                  </w:pPr>
                  <w:r>
                    <w:t xml:space="preserve">124</w:t>
                  </w:r>
                </w:p>
              </w:tc>
              <w:tc>
                <w:tcPr/>
                <w:p>
                  <w:pPr>
                    <w:pStyle w:val="Compact"/>
                    <w:jc w:val="left"/>
                    <w:jc w:val="center"/>
                  </w:pPr>
                  <w:r>
                    <w:t xml:space="preserve">201</w:t>
                  </w:r>
                </w:p>
              </w:tc>
            </w:tr>
            <w:tr>
              <w:tc>
                <w:tcPr/>
                <w:p>
                  <w:pPr>
                    <w:pStyle w:val="Compact"/>
                    <w:jc w:val="left"/>
                    <w:jc w:val="center"/>
                  </w:pPr>
                  <w:r>
                    <w:t xml:space="preserve">cell types</w:t>
                  </w:r>
                </w:p>
              </w:tc>
              <w:tc>
                <w:tcPr/>
                <w:p>
                  <w:pPr>
                    <w:pStyle w:val="Compact"/>
                    <w:jc w:val="left"/>
                    <w:jc w:val="center"/>
                  </w:pPr>
                  <w:r>
                    <w:t xml:space="preserve">77</w:t>
                  </w:r>
                </w:p>
              </w:tc>
              <w:tc>
                <w:tcPr/>
                <w:p>
                  <w:pPr>
                    <w:pStyle w:val="Compact"/>
                    <w:jc w:val="left"/>
                    <w:jc w:val="center"/>
                  </w:pPr>
                  <w:r>
                    <w:t xml:space="preserve">124</w:t>
                  </w:r>
                </w:p>
              </w:tc>
              <w:tc>
                <w:tcPr/>
                <w:p>
                  <w:pPr>
                    <w:pStyle w:val="Compact"/>
                    <w:jc w:val="left"/>
                    <w:jc w:val="center"/>
                  </w:pPr>
                  <w:r>
                    <w:t xml:space="preserve">201</w:t>
                  </w:r>
                </w:p>
              </w:tc>
            </w:tr>
            <w:tr>
              <w:tc>
                <w:tcPr/>
                <w:p>
                  <w:pPr>
                    <w:pStyle w:val="Compact"/>
                    <w:jc w:val="left"/>
                    <w:jc w:val="center"/>
                  </w:pPr>
                  <w:r>
                    <w:t xml:space="preserve">cell types significant (%)</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100</w:t>
                  </w:r>
                </w:p>
              </w:tc>
            </w:tr>
            <w:tr>
              <w:tc>
                <w:tcPr/>
                <w:p>
                  <w:pPr>
                    <w:pStyle w:val="Compact"/>
                    <w:jc w:val="left"/>
                    <w:jc w:val="center"/>
                  </w:pPr>
                  <w:r>
                    <w:t xml:space="preserve">phenotypes significant</w:t>
                  </w:r>
                </w:p>
              </w:tc>
              <w:tc>
                <w:tcPr/>
                <w:p>
                  <w:pPr>
                    <w:pStyle w:val="Compact"/>
                    <w:jc w:val="left"/>
                    <w:jc w:val="center"/>
                  </w:pPr>
                  <w:r>
                    <w:t xml:space="preserve">7,340</w:t>
                  </w:r>
                </w:p>
              </w:tc>
              <w:tc>
                <w:tcPr/>
                <w:p>
                  <w:pPr>
                    <w:pStyle w:val="Compact"/>
                    <w:jc w:val="left"/>
                    <w:jc w:val="center"/>
                  </w:pPr>
                  <w:r>
                    <w:t xml:space="preserve">9,049</w:t>
                  </w:r>
                </w:p>
              </w:tc>
              <w:tc>
                <w:tcPr/>
                <w:p>
                  <w:pPr>
                    <w:pStyle w:val="Compact"/>
                    <w:jc w:val="left"/>
                    <w:jc w:val="center"/>
                  </w:pPr>
                  <w:r>
                    <w:t xml:space="preserve">9,575</w:t>
                  </w:r>
                </w:p>
              </w:tc>
            </w:tr>
            <w:tr>
              <w:tc>
                <w:tcPr/>
                <w:p>
                  <w:pPr>
                    <w:pStyle w:val="Compact"/>
                    <w:jc w:val="left"/>
                    <w:jc w:val="center"/>
                  </w:pPr>
                  <w:r>
                    <w:t xml:space="preserve">phenotypes tested</w:t>
                  </w:r>
                </w:p>
              </w:tc>
              <w:tc>
                <w:tcPr/>
                <w:p>
                  <w:pPr>
                    <w:pStyle w:val="Compact"/>
                    <w:jc w:val="left"/>
                    <w:jc w:val="center"/>
                  </w:pPr>
                  <w:r>
                    <w:t xml:space="preserve">11,014</w:t>
                  </w:r>
                </w:p>
              </w:tc>
              <w:tc>
                <w:tcPr/>
                <w:p>
                  <w:pPr>
                    <w:pStyle w:val="Compact"/>
                    <w:jc w:val="left"/>
                    <w:jc w:val="center"/>
                  </w:pPr>
                  <w:r>
                    <w:t xml:space="preserve">10,959</w:t>
                  </w:r>
                </w:p>
              </w:tc>
              <w:tc>
                <w:tcPr/>
                <w:p>
                  <w:pPr>
                    <w:pStyle w:val="Compact"/>
                    <w:jc w:val="left"/>
                    <w:jc w:val="center"/>
                  </w:pPr>
                  <w:r>
                    <w:t xml:space="preserve">11,028</w:t>
                  </w:r>
                </w:p>
              </w:tc>
            </w:tr>
            <w:tr>
              <w:tc>
                <w:tcPr/>
                <w:p>
                  <w:pPr>
                    <w:pStyle w:val="Compact"/>
                    <w:jc w:val="left"/>
                    <w:jc w:val="center"/>
                  </w:pPr>
                  <w:r>
                    <w:t xml:space="preserve">phenotypes</w:t>
                  </w:r>
                </w:p>
              </w:tc>
              <w:tc>
                <w:tcPr/>
                <w:p>
                  <w:pPr>
                    <w:pStyle w:val="Compact"/>
                    <w:jc w:val="left"/>
                    <w:jc w:val="center"/>
                  </w:pPr>
                  <w:r>
                    <w:t xml:space="preserve">11,047</w:t>
                  </w:r>
                </w:p>
              </w:tc>
              <w:tc>
                <w:tcPr/>
                <w:p>
                  <w:pPr>
                    <w:pStyle w:val="Compact"/>
                    <w:jc w:val="left"/>
                    <w:jc w:val="center"/>
                  </w:pPr>
                  <w:r>
                    <w:t xml:space="preserve">11,047</w:t>
                  </w:r>
                </w:p>
              </w:tc>
              <w:tc>
                <w:tcPr/>
                <w:p>
                  <w:pPr>
                    <w:pStyle w:val="Compact"/>
                    <w:jc w:val="left"/>
                    <w:jc w:val="center"/>
                  </w:pPr>
                  <w:r>
                    <w:t xml:space="preserve">11,047</w:t>
                  </w:r>
                </w:p>
              </w:tc>
            </w:tr>
            <w:tr>
              <w:tc>
                <w:tcPr/>
                <w:p>
                  <w:pPr>
                    <w:pStyle w:val="Compact"/>
                    <w:jc w:val="left"/>
                    <w:jc w:val="center"/>
                  </w:pPr>
                  <w:r>
                    <w:t xml:space="preserve">phenotypes significant (%)</w:t>
                  </w:r>
                </w:p>
              </w:tc>
              <w:tc>
                <w:tcPr/>
                <w:p>
                  <w:pPr>
                    <w:pStyle w:val="Compact"/>
                    <w:jc w:val="left"/>
                    <w:jc w:val="center"/>
                  </w:pPr>
                  <w:r>
                    <w:t xml:space="preserve">66.4</w:t>
                  </w:r>
                </w:p>
              </w:tc>
              <w:tc>
                <w:tcPr/>
                <w:p>
                  <w:pPr>
                    <w:pStyle w:val="Compact"/>
                    <w:jc w:val="left"/>
                    <w:jc w:val="center"/>
                  </w:pPr>
                  <w:r>
                    <w:t xml:space="preserve">81.9</w:t>
                  </w:r>
                </w:p>
              </w:tc>
              <w:tc>
                <w:tcPr/>
                <w:p>
                  <w:pPr>
                    <w:pStyle w:val="Compact"/>
                    <w:jc w:val="left"/>
                    <w:jc w:val="center"/>
                  </w:pPr>
                  <w:r>
                    <w:t xml:space="preserve">86.7</w:t>
                  </w:r>
                </w:p>
              </w:tc>
            </w:tr>
            <w:tr>
              <w:tc>
                <w:tcPr/>
                <w:p>
                  <w:pPr>
                    <w:pStyle w:val="Compact"/>
                    <w:jc w:val="left"/>
                    <w:jc w:val="center"/>
                  </w:pPr>
                  <w:r>
                    <w:t xml:space="preserve">diseases significant</w:t>
                  </w:r>
                </w:p>
              </w:tc>
              <w:tc>
                <w:tcPr/>
                <w:p>
                  <w:pPr>
                    <w:pStyle w:val="Compact"/>
                    <w:jc w:val="left"/>
                    <w:jc w:val="center"/>
                  </w:pPr>
                  <w:r>
                    <w:t xml:space="preserve">8,628</w:t>
                  </w:r>
                </w:p>
              </w:tc>
              <w:tc>
                <w:tcPr/>
                <w:p>
                  <w:pPr>
                    <w:pStyle w:val="Compact"/>
                    <w:jc w:val="left"/>
                    <w:jc w:val="center"/>
                  </w:pPr>
                  <w:r>
                    <w:t xml:space="preserve">8,627</w:t>
                  </w:r>
                </w:p>
              </w:tc>
              <w:tc>
                <w:tcPr/>
                <w:p>
                  <w:pPr>
                    <w:pStyle w:val="Compact"/>
                    <w:jc w:val="left"/>
                    <w:jc w:val="center"/>
                  </w:pPr>
                  <w:r>
                    <w:t xml:space="preserve">8,628</w:t>
                  </w:r>
                </w:p>
              </w:tc>
            </w:tr>
            <w:tr>
              <w:tc>
                <w:tcPr/>
                <w:p>
                  <w:pPr>
                    <w:pStyle w:val="Compact"/>
                    <w:jc w:val="left"/>
                    <w:jc w:val="center"/>
                  </w:pPr>
                  <w:r>
                    <w:t xml:space="preserve">diseases</w:t>
                  </w:r>
                </w:p>
              </w:tc>
              <w:tc>
                <w:tcPr/>
                <w:p>
                  <w:pPr>
                    <w:pStyle w:val="Compact"/>
                    <w:jc w:val="left"/>
                    <w:jc w:val="center"/>
                  </w:pPr>
                  <w:r>
                    <w:t xml:space="preserve">8,631</w:t>
                  </w:r>
                </w:p>
              </w:tc>
              <w:tc>
                <w:tcPr/>
                <w:p>
                  <w:pPr>
                    <w:pStyle w:val="Compact"/>
                    <w:jc w:val="left"/>
                    <w:jc w:val="center"/>
                  </w:pPr>
                  <w:r>
                    <w:t xml:space="preserve">8,631</w:t>
                  </w:r>
                </w:p>
              </w:tc>
              <w:tc>
                <w:tcPr/>
                <w:p>
                  <w:pPr>
                    <w:pStyle w:val="Compact"/>
                    <w:jc w:val="left"/>
                    <w:jc w:val="center"/>
                  </w:pPr>
                  <w:r>
                    <w:t xml:space="preserve">8,631</w:t>
                  </w:r>
                </w:p>
              </w:tc>
            </w:tr>
            <w:tr>
              <w:tc>
                <w:tcPr/>
                <w:p>
                  <w:pPr>
                    <w:pStyle w:val="Compact"/>
                    <w:jc w:val="left"/>
                    <w:jc w:val="center"/>
                  </w:pPr>
                  <w:r>
                    <w:t xml:space="preserve">diseases significant (%)</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100</w:t>
                  </w:r>
                </w:p>
              </w:tc>
            </w:tr>
            <w:tr>
              <w:tc>
                <w:tcPr/>
                <w:p>
                  <w:pPr>
                    <w:pStyle w:val="Compact"/>
                    <w:jc w:val="left"/>
                    <w:jc w:val="center"/>
                  </w:pPr>
                  <w:r>
                    <w:t xml:space="preserve">cell types per phenotype (mean)</w:t>
                  </w:r>
                </w:p>
              </w:tc>
              <w:tc>
                <w:tcPr/>
                <w:p>
                  <w:pPr>
                    <w:pStyle w:val="Compact"/>
                    <w:jc w:val="left"/>
                    <w:jc w:val="center"/>
                  </w:pPr>
                  <w:r>
                    <w:t xml:space="preserve">1.81</w:t>
                  </w:r>
                </w:p>
              </w:tc>
              <w:tc>
                <w:tcPr/>
                <w:p>
                  <w:pPr>
                    <w:pStyle w:val="Compact"/>
                    <w:jc w:val="left"/>
                    <w:jc w:val="center"/>
                  </w:pPr>
                  <w:r>
                    <w:t xml:space="preserve">2.43</w:t>
                  </w:r>
                </w:p>
              </w:tc>
              <w:tc>
                <w:tcPr/>
                <w:p>
                  <w:pPr>
                    <w:pStyle w:val="Compact"/>
                    <w:jc w:val="left"/>
                    <w:jc w:val="center"/>
                  </w:pPr>
                  <w:r>
                    <w:t xml:space="preserve">4.22</w:t>
                  </w:r>
                </w:p>
              </w:tc>
            </w:tr>
            <w:tr>
              <w:tc>
                <w:tcPr/>
                <w:p>
                  <w:pPr>
                    <w:pStyle w:val="Compact"/>
                    <w:jc w:val="left"/>
                    <w:jc w:val="center"/>
                  </w:pPr>
                  <w:r>
                    <w:t xml:space="preserve">cell types per phenotype (median)</w:t>
                  </w: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3</w:t>
                  </w:r>
                </w:p>
              </w:tc>
            </w:tr>
            <w:tr>
              <w:tc>
                <w:tcPr/>
                <w:p>
                  <w:pPr>
                    <w:pStyle w:val="Compact"/>
                    <w:jc w:val="left"/>
                    <w:jc w:val="center"/>
                  </w:pPr>
                  <w:r>
                    <w:t xml:space="preserve">cell types per phenotype (min)</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cell types per phenotype (max)</w:t>
                  </w:r>
                </w:p>
              </w:tc>
              <w:tc>
                <w:tcPr/>
                <w:p>
                  <w:pPr>
                    <w:pStyle w:val="Compact"/>
                    <w:jc w:val="left"/>
                    <w:jc w:val="center"/>
                  </w:pPr>
                  <w:r>
                    <w:t xml:space="preserve">31</w:t>
                  </w:r>
                </w:p>
              </w:tc>
              <w:tc>
                <w:tcPr/>
                <w:p>
                  <w:pPr>
                    <w:pStyle w:val="Compact"/>
                    <w:jc w:val="left"/>
                    <w:jc w:val="center"/>
                  </w:pPr>
                  <w:r>
                    <w:t xml:space="preserve">28</w:t>
                  </w:r>
                </w:p>
              </w:tc>
              <w:tc>
                <w:tcPr/>
                <w:p>
                  <w:pPr>
                    <w:pStyle w:val="Compact"/>
                    <w:jc w:val="left"/>
                    <w:jc w:val="center"/>
                  </w:pPr>
                  <w:r>
                    <w:t xml:space="preserve">59</w:t>
                  </w:r>
                </w:p>
              </w:tc>
            </w:tr>
            <w:tr>
              <w:tc>
                <w:tcPr/>
                <w:p>
                  <w:pPr>
                    <w:pStyle w:val="Compact"/>
                    <w:jc w:val="left"/>
                    <w:jc w:val="center"/>
                  </w:pPr>
                  <w:r>
                    <w:t xml:space="preserve">phenotypes per cell type (mean)</w:t>
                  </w:r>
                </w:p>
              </w:tc>
              <w:tc>
                <w:tcPr/>
                <w:p>
                  <w:pPr>
                    <w:pStyle w:val="Compact"/>
                    <w:jc w:val="left"/>
                    <w:jc w:val="center"/>
                  </w:pPr>
                  <w:r>
                    <w:t xml:space="preserve">259</w:t>
                  </w:r>
                </w:p>
              </w:tc>
              <w:tc>
                <w:tcPr/>
                <w:p>
                  <w:pPr>
                    <w:pStyle w:val="Compact"/>
                    <w:jc w:val="left"/>
                    <w:jc w:val="center"/>
                  </w:pPr>
                  <w:r>
                    <w:t xml:space="preserve">214</w:t>
                  </w:r>
                </w:p>
              </w:tc>
              <w:tc>
                <w:tcPr/>
                <w:p>
                  <w:pPr>
                    <w:pStyle w:val="Compact"/>
                    <w:jc w:val="left"/>
                    <w:jc w:val="center"/>
                  </w:pPr>
                  <w:r>
                    <w:t xml:space="preserve">231</w:t>
                  </w:r>
                </w:p>
              </w:tc>
            </w:tr>
            <w:tr>
              <w:tc>
                <w:tcPr/>
                <w:p>
                  <w:pPr>
                    <w:pStyle w:val="Compact"/>
                    <w:jc w:val="left"/>
                    <w:jc w:val="center"/>
                  </w:pPr>
                  <w:r>
                    <w:t xml:space="preserve">phenotypes per cell type (median)</w:t>
                  </w:r>
                </w:p>
              </w:tc>
              <w:tc>
                <w:tcPr/>
                <w:p>
                  <w:pPr>
                    <w:pStyle w:val="Compact"/>
                    <w:jc w:val="left"/>
                    <w:jc w:val="center"/>
                  </w:pPr>
                  <w:r>
                    <w:t xml:space="preserve">252</w:t>
                  </w:r>
                </w:p>
              </w:tc>
              <w:tc>
                <w:tcPr/>
                <w:p>
                  <w:pPr>
                    <w:pStyle w:val="Compact"/>
                    <w:jc w:val="left"/>
                    <w:jc w:val="center"/>
                  </w:pPr>
                  <w:r>
                    <w:t xml:space="preserve">200</w:t>
                  </w:r>
                </w:p>
              </w:tc>
              <w:tc>
                <w:tcPr/>
                <w:p>
                  <w:pPr>
                    <w:pStyle w:val="Compact"/>
                    <w:jc w:val="left"/>
                    <w:jc w:val="center"/>
                  </w:pPr>
                  <w:r>
                    <w:t xml:space="preserve">209</w:t>
                  </w:r>
                </w:p>
              </w:tc>
            </w:tr>
            <w:tr>
              <w:tc>
                <w:tcPr/>
                <w:p>
                  <w:pPr>
                    <w:pStyle w:val="Compact"/>
                    <w:jc w:val="left"/>
                    <w:jc w:val="center"/>
                  </w:pPr>
                  <w:r>
                    <w:t xml:space="preserve">phenotypes per cell type (min)</w:t>
                  </w:r>
                </w:p>
              </w:tc>
              <w:tc>
                <w:tcPr/>
                <w:p>
                  <w:pPr>
                    <w:pStyle w:val="Compact"/>
                    <w:jc w:val="left"/>
                    <w:jc w:val="center"/>
                  </w:pPr>
                  <w:r>
                    <w:t xml:space="preserve">71</w:t>
                  </w:r>
                </w:p>
              </w:tc>
              <w:tc>
                <w:tcPr/>
                <w:p>
                  <w:pPr>
                    <w:pStyle w:val="Compact"/>
                    <w:jc w:val="left"/>
                    <w:jc w:val="center"/>
                  </w:pPr>
                  <w:r>
                    <w:t xml:space="preserve">57</w:t>
                  </w:r>
                </w:p>
              </w:tc>
              <w:tc>
                <w:tcPr/>
                <w:p>
                  <w:pPr>
                    <w:pStyle w:val="Compact"/>
                    <w:jc w:val="left"/>
                    <w:jc w:val="center"/>
                  </w:pPr>
                  <w:r>
                    <w:t xml:space="preserve">57</w:t>
                  </w:r>
                </w:p>
              </w:tc>
            </w:tr>
            <w:tr>
              <w:tc>
                <w:tcPr/>
                <w:p>
                  <w:pPr>
                    <w:pStyle w:val="Compact"/>
                    <w:jc w:val="left"/>
                    <w:jc w:val="center"/>
                  </w:pPr>
                  <w:r>
                    <w:t xml:space="preserve">phenotypes per cell type (max)</w:t>
                  </w:r>
                </w:p>
              </w:tc>
              <w:tc>
                <w:tcPr/>
                <w:p>
                  <w:pPr>
                    <w:pStyle w:val="Compact"/>
                    <w:jc w:val="left"/>
                    <w:jc w:val="center"/>
                  </w:pPr>
                  <w:r>
                    <w:t xml:space="preserve">696</w:t>
                  </w:r>
                </w:p>
              </w:tc>
              <w:tc>
                <w:tcPr/>
                <w:p>
                  <w:pPr>
                    <w:pStyle w:val="Compact"/>
                    <w:jc w:val="left"/>
                    <w:jc w:val="center"/>
                  </w:pPr>
                  <w:r>
                    <w:t xml:space="preserve">735</w:t>
                  </w:r>
                </w:p>
              </w:tc>
              <w:tc>
                <w:tcPr/>
                <w:p>
                  <w:pPr>
                    <w:pStyle w:val="Compact"/>
                    <w:jc w:val="left"/>
                    <w:jc w:val="center"/>
                  </w:pPr>
                  <w:r>
                    <w:t xml:space="preserve">735</w:t>
                  </w:r>
                </w:p>
              </w:tc>
            </w:tr>
          </w:tbl>
          <w:bookmarkEnd w:id="357"/>
          <w:p/>
        </w:tc>
      </w:tr>
    </w:tbl>
    <w:p>
      <w:r>
        <w:br w:type="page"/>
      </w:r>
    </w:p>
    <w:tbl>
      <w:tblPr>
        <w:tblStyle w:val="Table"/>
        <w:tblW w:type="pct" w:w="5000"/>
        <w:tblLayout w:type="fixed"/>
        <w:tblLook w:firstRow="0" w:lastRow="0" w:firstColumn="0" w:lastColumn="0" w:noHBand="0" w:noVBand="0" w:val="0000"/>
      </w:tblPr>
      <w:tblGrid>
        <w:gridCol w:w="7920"/>
      </w:tblGrid>
      <w:tr>
        <w:tc>
          <w:tcPr/>
          <w:bookmarkStart w:id="358" w:name="tbl-filters"/>
          <w:p>
            <w:pPr>
              <w:jc w:val="center"/>
            </w:pPr>
            <w:pPr>
              <w:jc w:val="left"/>
              <w:spacing w:before="200"/>
              <w:pStyle w:val="ImageCaption"/>
            </w:pPr>
            <w:r>
              <w:t xml:space="preserve">Table S3:</w:t>
            </w:r>
            <w:r>
              <w:t xml:space="preserve"> </w:t>
            </w:r>
            <w:r>
              <w:rPr>
                <w:b/>
                <w:bCs/>
              </w:rPr>
              <w:t xml:space="preserve">Description of each filtering step performed in the multi-scale therapeutic target prioritisation pipeline.</w:t>
            </w:r>
            <w:r>
              <w:t xml:space="preserve"> </w:t>
            </w:r>
            <w:r>
              <w:t xml:space="preserve">‘level’</w:t>
            </w:r>
            <w:r>
              <w:t xml:space="preserve"> </w:t>
            </w:r>
            <w:r>
              <w:t xml:space="preserve">indicates the biological scale at which the step is applied to.</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left"/>
                    <w:jc w:val="center"/>
                  </w:pPr>
                  <w:r>
                    <w:t xml:space="preserve">level</w:t>
                  </w:r>
                </w:p>
              </w:tc>
              <w:tc>
                <w:tcPr/>
                <w:p>
                  <w:pPr>
                    <w:pStyle w:val="Compact"/>
                    <w:jc w:val="left"/>
                    <w:jc w:val="center"/>
                  </w:pPr>
                  <w:r>
                    <w:t xml:space="preserve">step</w:t>
                  </w:r>
                </w:p>
              </w:tc>
              <w:tc>
                <w:tcPr/>
                <w:p>
                  <w:pPr>
                    <w:pStyle w:val="Compact"/>
                    <w:jc w:val="left"/>
                    <w:jc w:val="center"/>
                  </w:pPr>
                  <w:r>
                    <w:t xml:space="preserve">description</w:t>
                  </w:r>
                </w:p>
              </w:tc>
            </w:tr>
            <w:tr>
              <w:tc>
                <w:tcPr/>
                <w:p>
                  <w:pPr>
                    <w:pStyle w:val="Compact"/>
                    <w:jc w:val="left"/>
                    <w:jc w:val="center"/>
                  </w:pPr>
                  <w:r>
                    <w:t xml:space="preserve">NA</w:t>
                  </w:r>
                </w:p>
              </w:tc>
              <w:tc>
                <w:tcPr/>
                <w:p>
                  <w:pPr>
                    <w:pStyle w:val="Compact"/>
                    <w:jc w:val="left"/>
                    <w:jc w:val="center"/>
                  </w:pPr>
                  <w:r>
                    <w:t xml:space="preserve">1. start</w:t>
                  </w:r>
                </w:p>
              </w:tc>
              <w:tc>
                <w:tcPr/>
                <w:p>
                  <w:pPr>
                    <w:pStyle w:val="Compact"/>
                    <w:jc w:val="left"/>
                    <w:jc w:val="center"/>
                  </w:pPr>
                  <w:r>
                    <w:t xml:space="preserve">NA</w:t>
                  </w:r>
                </w:p>
              </w:tc>
            </w:tr>
            <w:tr>
              <w:tc>
                <w:tcPr/>
                <w:p>
                  <w:pPr>
                    <w:pStyle w:val="Compact"/>
                    <w:jc w:val="left"/>
                    <w:jc w:val="center"/>
                  </w:pPr>
                  <w:r>
                    <w:t xml:space="preserve">Cell type</w:t>
                  </w:r>
                </w:p>
              </w:tc>
              <w:tc>
                <w:tcPr/>
                <w:p>
                  <w:pPr>
                    <w:pStyle w:val="Compact"/>
                    <w:jc w:val="left"/>
                    <w:jc w:val="center"/>
                  </w:pPr>
                  <w:r>
                    <w:t xml:space="preserve">2. q threshold</w:t>
                  </w:r>
                </w:p>
              </w:tc>
              <w:tc>
                <w:tcPr/>
                <w:p>
                  <w:pPr>
                    <w:pStyle w:val="Compact"/>
                    <w:jc w:val="left"/>
                    <w:jc w:val="center"/>
                  </w:pPr>
                  <w:r>
                    <w:t xml:space="preserve">Keep only cell type-phenotype association results at q&lt;=0.05.</w:t>
                  </w:r>
                </w:p>
              </w:tc>
            </w:tr>
            <w:tr>
              <w:tc>
                <w:tcPr/>
                <w:p>
                  <w:pPr>
                    <w:pStyle w:val="Compact"/>
                    <w:jc w:val="left"/>
                    <w:jc w:val="center"/>
                  </w:pPr>
                  <w:r>
                    <w:t xml:space="preserve">Phenotype</w:t>
                  </w:r>
                </w:p>
              </w:tc>
              <w:tc>
                <w:tcPr/>
                <w:p>
                  <w:pPr>
                    <w:pStyle w:val="Compact"/>
                    <w:jc w:val="left"/>
                    <w:jc w:val="center"/>
                  </w:pPr>
                  <w:r>
                    <w:t xml:space="preserve">3. keep descendants</w:t>
                  </w:r>
                </w:p>
              </w:tc>
              <w:tc>
                <w:tcPr/>
                <w:p>
                  <w:pPr>
                    <w:pStyle w:val="Compact"/>
                    <w:jc w:val="left"/>
                    <w:jc w:val="center"/>
                  </w:pPr>
                  <w:r>
                    <w:t xml:space="preserve">Remove phenotypes belonging to a certain branch of the HPO, as defined by an ancestor term.</w:t>
                  </w:r>
                </w:p>
              </w:tc>
            </w:tr>
            <w:tr>
              <w:tc>
                <w:tcPr/>
                <w:p>
                  <w:pPr>
                    <w:pStyle w:val="Compact"/>
                    <w:jc w:val="left"/>
                    <w:jc w:val="center"/>
                  </w:pPr>
                  <w:r>
                    <w:t xml:space="preserve">Phenotype</w:t>
                  </w:r>
                </w:p>
              </w:tc>
              <w:tc>
                <w:tcPr/>
                <w:p>
                  <w:pPr>
                    <w:pStyle w:val="Compact"/>
                    <w:jc w:val="left"/>
                    <w:jc w:val="center"/>
                  </w:pPr>
                  <w:r>
                    <w:t xml:space="preserve">4. info content threshold</w:t>
                  </w:r>
                </w:p>
              </w:tc>
              <w:tc>
                <w:tcPr/>
                <w:p>
                  <w:pPr>
                    <w:pStyle w:val="Compact"/>
                    <w:jc w:val="left"/>
                    <w:jc w:val="center"/>
                  </w:pPr>
                  <w:r>
                    <w:t xml:space="preserve">Keep only phenotypes with a minimum information criterion score (computed from the HPO).</w:t>
                  </w:r>
                </w:p>
              </w:tc>
            </w:tr>
            <w:tr>
              <w:tc>
                <w:tcPr/>
                <w:p>
                  <w:pPr>
                    <w:pStyle w:val="Compact"/>
                    <w:jc w:val="left"/>
                    <w:jc w:val="center"/>
                  </w:pPr>
                  <w:r>
                    <w:t xml:space="preserve">Phenotype</w:t>
                  </w:r>
                </w:p>
              </w:tc>
              <w:tc>
                <w:tcPr/>
                <w:p>
                  <w:pPr>
                    <w:pStyle w:val="Compact"/>
                    <w:jc w:val="left"/>
                    <w:jc w:val="center"/>
                  </w:pPr>
                  <w:r>
                    <w:t xml:space="preserve">5. severity threshold</w:t>
                  </w:r>
                </w:p>
              </w:tc>
              <w:tc>
                <w:tcPr/>
                <w:p>
                  <w:pPr>
                    <w:pStyle w:val="Compact"/>
                    <w:jc w:val="left"/>
                    <w:jc w:val="center"/>
                  </w:pPr>
                  <w:r>
                    <w:t xml:space="preserve">Keep only phenotypes with mean Severity equal to or below the threshold.</w:t>
                  </w:r>
                </w:p>
              </w:tc>
            </w:tr>
            <w:tr>
              <w:tc>
                <w:tcPr/>
                <w:p>
                  <w:pPr>
                    <w:pStyle w:val="Compact"/>
                    <w:jc w:val="left"/>
                    <w:jc w:val="center"/>
                  </w:pPr>
                  <w:r>
                    <w:t xml:space="preserve">Symptom</w:t>
                  </w:r>
                </w:p>
              </w:tc>
              <w:tc>
                <w:tcPr/>
                <w:p>
                  <w:pPr>
                    <w:pStyle w:val="Compact"/>
                    <w:jc w:val="left"/>
                    <w:jc w:val="center"/>
                  </w:pPr>
                  <w:r>
                    <w:t xml:space="preserve">6. pheno frequency threshold</w:t>
                  </w:r>
                </w:p>
              </w:tc>
              <w:tc>
                <w:tcPr/>
                <w:p>
                  <w:pPr>
                    <w:pStyle w:val="Compact"/>
                    <w:jc w:val="left"/>
                    <w:jc w:val="center"/>
                  </w:pPr>
                  <w:r>
                    <w:t xml:space="preserve">Keep only phenotypes with mean frequency equal to or above the threshold (i.e. how frequently a phenotype is associated with any diseases in which it occurs).</w:t>
                  </w:r>
                </w:p>
              </w:tc>
            </w:tr>
            <w:tr>
              <w:tc>
                <w:tcPr/>
                <w:p>
                  <w:pPr>
                    <w:pStyle w:val="Compact"/>
                    <w:jc w:val="left"/>
                    <w:jc w:val="center"/>
                  </w:pPr>
                  <w:r>
                    <w:t xml:space="preserve">Gene</w:t>
                  </w:r>
                </w:p>
              </w:tc>
              <w:tc>
                <w:tcPr/>
                <w:p>
                  <w:pPr>
                    <w:pStyle w:val="Compact"/>
                    <w:jc w:val="left"/>
                    <w:jc w:val="center"/>
                  </w:pPr>
                  <w:r>
                    <w:t xml:space="preserve">7. symptom gene overlap</w:t>
                  </w:r>
                </w:p>
              </w:tc>
              <w:tc>
                <w:tcPr/>
                <w:p>
                  <w:pPr>
                    <w:pStyle w:val="Compact"/>
                    <w:jc w:val="left"/>
                    <w:jc w:val="center"/>
                  </w:pPr>
                  <w:r>
                    <w:t xml:space="preserve">Ensure that genes nominated at the phenotype-level also appear in the genes overlapping at the cell type-specific symptom-level.</w:t>
                  </w:r>
                </w:p>
              </w:tc>
            </w:tr>
            <w:tr>
              <w:tc>
                <w:tcPr/>
                <w:p>
                  <w:pPr>
                    <w:pStyle w:val="Compact"/>
                    <w:jc w:val="left"/>
                    <w:jc w:val="center"/>
                  </w:pPr>
                  <w:r>
                    <w:t xml:space="preserve">Gene</w:t>
                  </w:r>
                </w:p>
              </w:tc>
              <w:tc>
                <w:tcPr/>
                <w:p>
                  <w:pPr>
                    <w:pStyle w:val="Compact"/>
                    <w:jc w:val="left"/>
                    <w:jc w:val="center"/>
                  </w:pPr>
                  <w:r>
                    <w:t xml:space="preserve">8. evidence score threshold</w:t>
                  </w:r>
                </w:p>
              </w:tc>
              <w:tc>
                <w:tcPr/>
                <w:p>
                  <w:pPr>
                    <w:pStyle w:val="Compact"/>
                    <w:jc w:val="left"/>
                    <w:jc w:val="center"/>
                  </w:pPr>
                  <w:r>
                    <w:t xml:space="preserve">Remove genes that are below an aggregate phenotype-gene evidence score threshold.</w:t>
                  </w:r>
                </w:p>
              </w:tc>
            </w:tr>
            <w:tr>
              <w:tc>
                <w:tcPr/>
                <w:p>
                  <w:pPr>
                    <w:pStyle w:val="Compact"/>
                    <w:jc w:val="left"/>
                    <w:jc w:val="center"/>
                  </w:pPr>
                  <w:r>
                    <w:t xml:space="preserve">Gene</w:t>
                  </w:r>
                </w:p>
              </w:tc>
              <w:tc>
                <w:tcPr/>
                <w:p>
                  <w:pPr>
                    <w:pStyle w:val="Compact"/>
                    <w:jc w:val="left"/>
                    <w:jc w:val="center"/>
                  </w:pPr>
                  <w:r>
                    <w:t xml:space="preserve">9. add driver genes</w:t>
                  </w:r>
                </w:p>
              </w:tc>
              <w:tc>
                <w:tcPr/>
                <w:p>
                  <w:pPr>
                    <w:pStyle w:val="Compact"/>
                    <w:jc w:val="left"/>
                    <w:jc w:val="center"/>
                  </w:pPr>
                  <w:r>
                    <w:t xml:space="preserve">Keep only genes that are driving the association with a given phenotype (inferred by the intersection of phenotype-associated genes and gene with high-specificity quantiles in the target cell type).</w:t>
                  </w:r>
                </w:p>
              </w:tc>
            </w:tr>
            <w:tr>
              <w:tc>
                <w:tcPr/>
                <w:p>
                  <w:pPr>
                    <w:pStyle w:val="Compact"/>
                    <w:jc w:val="left"/>
                    <w:jc w:val="center"/>
                  </w:pPr>
                  <w:r>
                    <w:t xml:space="preserve">Symptom</w:t>
                  </w:r>
                </w:p>
              </w:tc>
              <w:tc>
                <w:tcPr/>
                <w:p>
                  <w:pPr>
                    <w:pStyle w:val="Compact"/>
                    <w:jc w:val="left"/>
                    <w:jc w:val="center"/>
                  </w:pPr>
                  <w:r>
                    <w:t xml:space="preserve">10. symptom intersection threshold</w:t>
                  </w:r>
                </w:p>
              </w:tc>
              <w:tc>
                <w:tcPr/>
                <w:p>
                  <w:pPr>
                    <w:pStyle w:val="Compact"/>
                    <w:jc w:val="left"/>
                    <w:jc w:val="center"/>
                  </w:pPr>
                  <w:r>
                    <w:t xml:space="preserve">Minimum proportion of genes overlapping between a symptom gene list (phenotype-associated genes in the context of a particular disease) and the phenotype-cell type association driver genes.</w:t>
                  </w:r>
                </w:p>
              </w:tc>
            </w:tr>
            <w:tr>
              <w:tc>
                <w:tcPr/>
                <w:p>
                  <w:pPr>
                    <w:pStyle w:val="Compact"/>
                    <w:jc w:val="left"/>
                    <w:jc w:val="center"/>
                  </w:pPr>
                  <w:r>
                    <w:t xml:space="preserve">Gene</w:t>
                  </w:r>
                </w:p>
              </w:tc>
              <w:tc>
                <w:tcPr/>
                <w:p>
                  <w:pPr>
                    <w:pStyle w:val="Compact"/>
                    <w:jc w:val="left"/>
                    <w:jc w:val="center"/>
                  </w:pPr>
                  <w:r>
                    <w:t xml:space="preserve">11. gene frequency threshold</w:t>
                  </w:r>
                </w:p>
              </w:tc>
              <w:tc>
                <w:tcPr/>
                <w:p>
                  <w:pPr>
                    <w:pStyle w:val="Compact"/>
                    <w:jc w:val="left"/>
                    <w:jc w:val="center"/>
                  </w:pPr>
                  <w:r>
                    <w:t xml:space="preserve">Keep only genes at or above a certain mean frequency threshold (i.e. how frequently a gene is associated with a given phenotype when observed within a disease).</w:t>
                  </w:r>
                </w:p>
              </w:tc>
            </w:tr>
            <w:tr>
              <w:tc>
                <w:tcPr/>
                <w:p>
                  <w:pPr>
                    <w:pStyle w:val="Compact"/>
                    <w:jc w:val="left"/>
                    <w:jc w:val="center"/>
                  </w:pPr>
                  <w:r>
                    <w:t xml:space="preserve">Phenotype</w:t>
                  </w:r>
                </w:p>
              </w:tc>
              <w:tc>
                <w:tcPr/>
                <w:p>
                  <w:pPr>
                    <w:pStyle w:val="Compact"/>
                    <w:jc w:val="left"/>
                    <w:jc w:val="center"/>
                  </w:pPr>
                  <w:r>
                    <w:t xml:space="preserve">12. prune ancestors</w:t>
                  </w:r>
                </w:p>
              </w:tc>
              <w:tc>
                <w:tcPr/>
                <w:p>
                  <w:pPr>
                    <w:pStyle w:val="Compact"/>
                    <w:jc w:val="left"/>
                    <w:jc w:val="center"/>
                  </w:pPr>
                  <w:r>
                    <w:t xml:space="preserve">Remove redundant ancestral phenotypes when at least one of their descendants already exist.</w:t>
                  </w:r>
                </w:p>
              </w:tc>
            </w:tr>
            <w:tr>
              <w:tc>
                <w:tcPr/>
                <w:p>
                  <w:pPr>
                    <w:pStyle w:val="Compact"/>
                    <w:jc w:val="left"/>
                    <w:jc w:val="center"/>
                  </w:pPr>
                  <w:r>
                    <w:t xml:space="preserve">All</w:t>
                  </w:r>
                </w:p>
              </w:tc>
              <w:tc>
                <w:tcPr/>
                <w:p>
                  <w:pPr>
                    <w:pStyle w:val="Compact"/>
                    <w:jc w:val="left"/>
                    <w:jc w:val="center"/>
                  </w:pPr>
                  <w:r>
                    <w:t xml:space="preserve">13. top n</w:t>
                  </w:r>
                </w:p>
              </w:tc>
              <w:tc>
                <w:tcPr/>
                <w:p>
                  <w:pPr>
                    <w:pStyle w:val="Compact"/>
                    <w:jc w:val="left"/>
                    <w:jc w:val="center"/>
                  </w:pPr>
                  <w:r>
                    <w:t xml:space="preserve">Only return the top N targets per variable group (specified with the</w:t>
                  </w:r>
                  <w:r>
                    <w:t xml:space="preserve"> </w:t>
                  </w:r>
                  <w:r>
                    <w:t xml:space="preserve">“group_vars”</w:t>
                  </w:r>
                  <w:r>
                    <w:t xml:space="preserve"> </w:t>
                  </w:r>
                  <w:r>
                    <w:t xml:space="preserve">argument). For example, setting</w:t>
                  </w:r>
                  <w:r>
                    <w:t xml:space="preserve"> </w:t>
                  </w:r>
                  <w:r>
                    <w:t xml:space="preserve">“group_vars”</w:t>
                  </w:r>
                  <w:r>
                    <w:t xml:space="preserve"> </w:t>
                  </w:r>
                  <w:r>
                    <w:t xml:space="preserve">to</w:t>
                  </w:r>
                  <w:r>
                    <w:t xml:space="preserve"> </w:t>
                  </w:r>
                  <w:r>
                    <w:t xml:space="preserve">“hpo_id”</w:t>
                  </w:r>
                  <w:r>
                    <w:t xml:space="preserve"> </w:t>
                  </w:r>
                  <w:r>
                    <w:t xml:space="preserve">and</w:t>
                  </w:r>
                  <w:r>
                    <w:t xml:space="preserve"> </w:t>
                  </w:r>
                  <w:r>
                    <w:t xml:space="preserve">“top_n”</w:t>
                  </w:r>
                  <w:r>
                    <w:t xml:space="preserve"> </w:t>
                  </w:r>
                  <w:r>
                    <w:t xml:space="preserve">to 1 would only return one target (row) per phenotype ID after sorting.</w:t>
                  </w:r>
                </w:p>
              </w:tc>
            </w:tr>
            <w:tr>
              <w:tc>
                <w:tcPr/>
                <w:p>
                  <w:pPr>
                    <w:pStyle w:val="Compact"/>
                    <w:jc w:val="left"/>
                    <w:jc w:val="center"/>
                  </w:pPr>
                  <w:r>
                    <w:t xml:space="preserve">NA</w:t>
                  </w:r>
                </w:p>
              </w:tc>
              <w:tc>
                <w:tcPr/>
                <w:p>
                  <w:pPr>
                    <w:pStyle w:val="Compact"/>
                    <w:jc w:val="left"/>
                    <w:jc w:val="center"/>
                  </w:pPr>
                  <w:r>
                    <w:t xml:space="preserve">14. end</w:t>
                  </w:r>
                </w:p>
              </w:tc>
              <w:tc>
                <w:tcPr/>
                <w:p>
                  <w:pPr>
                    <w:pStyle w:val="Compact"/>
                    <w:jc w:val="left"/>
                    <w:jc w:val="center"/>
                  </w:pPr>
                  <w:r>
                    <w:t xml:space="preserve">NA</w:t>
                  </w:r>
                </w:p>
              </w:tc>
            </w:tr>
          </w:tbl>
          <w:bookmarkEnd w:id="358"/>
          <w:p/>
        </w:tc>
      </w:tr>
    </w:tbl>
    <w:p>
      <w:r>
        <w:br w:type="page"/>
      </w:r>
    </w:p>
    <w:tbl>
      <w:tblPr>
        <w:tblStyle w:val="Table"/>
        <w:tblW w:type="pct" w:w="5000"/>
        <w:tblLayout w:type="fixed"/>
        <w:tblLook w:firstRow="0" w:lastRow="0" w:firstColumn="0" w:lastColumn="0" w:noHBand="0" w:noVBand="0" w:val="0000"/>
      </w:tblPr>
      <w:tblGrid>
        <w:gridCol w:w="7920"/>
      </w:tblGrid>
      <w:tr>
        <w:tc>
          <w:tcPr/>
          <w:bookmarkStart w:id="359" w:name="tbl-ontarget-celltypes"/>
          <w:p>
            <w:pPr>
              <w:jc w:val="center"/>
            </w:pPr>
            <w:pPr>
              <w:jc w:val="left"/>
              <w:spacing w:before="200"/>
              <w:pStyle w:val="ImageCaption"/>
            </w:pPr>
            <w:r>
              <w:t xml:space="preserve">Table S4:</w:t>
            </w:r>
            <w:r>
              <w:t xml:space="preserve"> </w:t>
            </w:r>
            <w:r>
              <w:rPr>
                <w:b/>
                <w:bCs/>
              </w:rPr>
              <w:t xml:space="preserve">Cross-ontology mappings between HPO and CL branches.</w:t>
            </w:r>
            <w:r>
              <w:t xml:space="preserve"> </w:t>
            </w:r>
            <w:r>
              <w:t xml:space="preserve">The last two columns represent the number of cell types that were overrepresented in the on-target HPO branch and the total number of cell types in that branch.</w:t>
            </w:r>
            <w:r>
              <w:t xml:space="preserve"> </w:t>
            </w:r>
            <w:r>
              <w:t xml:space="preserve">A disaggregated version of this table with all descendant cell type names is available in</w:t>
            </w:r>
            <w:r>
              <w:t xml:space="preserve"> </w:t>
            </w:r>
            <w:hyperlink w:anchor="tbl-celltypes">
              <w:r>
                <w:rPr>
                  <w:rStyle w:val="Hyperlink"/>
                </w:rPr>
                <w:t xml:space="preserve">Table S6</w:t>
              </w:r>
            </w:hyperlink>
            <w:r>
              <w:t xml:space="preserve">.</w:t>
            </w:r>
          </w:p>
          <w:tbl>
            <w:tblPr>
              <w:tblStyle w:val="Table"/>
              <w:tblW w:type="pct" w:w="5000"/>
              <w:tblLayout w:type="fixed"/>
              <w:tblLook w:firstRow="1" w:lastRow="0" w:firstColumn="0" w:lastColumn="0" w:noHBand="0" w:noVBand="0" w:val="0020"/>
            </w:tblPr>
            <w:tblGrid>
              <w:gridCol w:w="2066"/>
              <w:gridCol w:w="934"/>
              <w:gridCol w:w="2558"/>
              <w:gridCol w:w="1426"/>
              <w:gridCol w:w="934"/>
            </w:tblGrid>
            <w:tr>
              <w:trPr>
                <w:tblHeader w:val="on"/>
              </w:trPr>
              <w:tc>
                <w:tcPr/>
                <w:p>
                  <w:pPr>
                    <w:pStyle w:val="Compact"/>
                    <w:jc w:val="left"/>
                    <w:jc w:val="center"/>
                  </w:pPr>
                  <w:r>
                    <w:t xml:space="preserve">HPO branch</w:t>
                  </w:r>
                </w:p>
              </w:tc>
              <w:tc>
                <w:tcPr/>
                <w:p>
                  <w:pPr>
                    <w:pStyle w:val="Compact"/>
                    <w:jc w:val="right"/>
                    <w:jc w:val="center"/>
                  </w:pPr>
                  <w:r>
                    <w:t xml:space="preserve">Phenotypes (total)</w:t>
                  </w:r>
                </w:p>
              </w:tc>
              <w:tc>
                <w:tcPr/>
                <w:p>
                  <w:pPr>
                    <w:pStyle w:val="Compact"/>
                    <w:jc w:val="left"/>
                    <w:jc w:val="center"/>
                  </w:pPr>
                  <w:r>
                    <w:t xml:space="preserve">CL branch</w:t>
                  </w:r>
                </w:p>
              </w:tc>
              <w:tc>
                <w:tcPr/>
                <w:p>
                  <w:pPr>
                    <w:pStyle w:val="Compact"/>
                    <w:jc w:val="right"/>
                    <w:jc w:val="center"/>
                  </w:pPr>
                  <w:r>
                    <w:t xml:space="preserve">Cell types (overrepresented)</w:t>
                  </w:r>
                </w:p>
              </w:tc>
              <w:tc>
                <w:tcPr/>
                <w:p>
                  <w:pPr>
                    <w:pStyle w:val="Compact"/>
                    <w:jc w:val="right"/>
                    <w:jc w:val="center"/>
                  </w:pPr>
                  <w:r>
                    <w:t xml:space="preserve">Cell types (total)</w:t>
                  </w:r>
                </w:p>
              </w:tc>
            </w:tr>
            <w:tr>
              <w:tc>
                <w:tcPr/>
                <w:p>
                  <w:pPr>
                    <w:pStyle w:val="Compact"/>
                    <w:jc w:val="left"/>
                    <w:jc w:val="center"/>
                  </w:pPr>
                  <w:r>
                    <w:t xml:space="preserve">Abnormality of the cardiovascular system</w:t>
                  </w:r>
                </w:p>
              </w:tc>
              <w:tc>
                <w:tcPr/>
                <w:p>
                  <w:pPr>
                    <w:pStyle w:val="Compact"/>
                    <w:jc w:val="right"/>
                    <w:jc w:val="center"/>
                  </w:pPr>
                  <w:r>
                    <w:t xml:space="preserve">673</w:t>
                  </w:r>
                </w:p>
              </w:tc>
              <w:tc>
                <w:tcPr/>
                <w:p>
                  <w:pPr>
                    <w:pStyle w:val="Compact"/>
                    <w:jc w:val="left"/>
                    <w:jc w:val="center"/>
                  </w:pPr>
                  <w:r>
                    <w:t xml:space="preserve">cardiocyte</w:t>
                  </w:r>
                </w:p>
              </w:tc>
              <w:tc>
                <w:tcPr/>
                <w:p>
                  <w:pPr>
                    <w:pStyle w:val="Compact"/>
                    <w:jc w:val="right"/>
                    <w:jc w:val="center"/>
                  </w:pPr>
                  <w:r>
                    <w:t xml:space="preserve">5</w:t>
                  </w:r>
                </w:p>
              </w:tc>
              <w:tc>
                <w:tcPr/>
                <w:p>
                  <w:pPr>
                    <w:pStyle w:val="Compact"/>
                    <w:jc w:val="right"/>
                    <w:jc w:val="center"/>
                  </w:pPr>
                  <w:r>
                    <w:t xml:space="preserve">6</w:t>
                  </w:r>
                </w:p>
              </w:tc>
            </w:tr>
            <w:tr>
              <w:tc>
                <w:tcPr/>
                <w:p>
                  <w:pPr>
                    <w:pStyle w:val="Compact"/>
                    <w:jc w:val="left"/>
                    <w:jc w:val="center"/>
                  </w:pPr>
                  <w:r>
                    <w:t xml:space="preserve">Abnormality of the endocrine system</w:t>
                  </w:r>
                </w:p>
              </w:tc>
              <w:tc>
                <w:tcPr/>
                <w:p>
                  <w:pPr>
                    <w:pStyle w:val="Compact"/>
                    <w:jc w:val="right"/>
                    <w:jc w:val="center"/>
                  </w:pPr>
                  <w:r>
                    <w:t xml:space="preserve">291</w:t>
                  </w:r>
                </w:p>
              </w:tc>
              <w:tc>
                <w:tcPr/>
                <w:p>
                  <w:pPr>
                    <w:pStyle w:val="Compact"/>
                    <w:jc w:val="left"/>
                    <w:jc w:val="center"/>
                  </w:pPr>
                  <w:r>
                    <w:t xml:space="preserve">endocrine cell</w:t>
                  </w:r>
                </w:p>
              </w:tc>
              <w:tc>
                <w:tcPr/>
                <w:p>
                  <w:pPr>
                    <w:pStyle w:val="Compact"/>
                    <w:jc w:val="right"/>
                    <w:jc w:val="center"/>
                  </w:pPr>
                  <w:r>
                    <w:t xml:space="preserve">3</w:t>
                  </w:r>
                </w:p>
              </w:tc>
              <w:tc>
                <w:tcPr/>
                <w:p>
                  <w:pPr>
                    <w:pStyle w:val="Compact"/>
                    <w:jc w:val="right"/>
                    <w:jc w:val="center"/>
                  </w:pPr>
                  <w:r>
                    <w:t xml:space="preserve">4</w:t>
                  </w:r>
                </w:p>
              </w:tc>
            </w:tr>
            <w:tr>
              <w:tc>
                <w:tcPr/>
                <w:p>
                  <w:pPr>
                    <w:pStyle w:val="Compact"/>
                    <w:jc w:val="left"/>
                    <w:jc w:val="center"/>
                  </w:pPr>
                  <w:r>
                    <w:t xml:space="preserve">Abnormality of the eye</w:t>
                  </w:r>
                </w:p>
              </w:tc>
              <w:tc>
                <w:tcPr/>
                <w:p>
                  <w:pPr>
                    <w:pStyle w:val="Compact"/>
                    <w:jc w:val="right"/>
                    <w:jc w:val="center"/>
                  </w:pPr>
                  <w:r>
                    <w:t xml:space="preserve">721</w:t>
                  </w:r>
                </w:p>
              </w:tc>
              <w:tc>
                <w:tcPr/>
                <w:p>
                  <w:pPr>
                    <w:pStyle w:val="Compact"/>
                    <w:jc w:val="left"/>
                    <w:jc w:val="center"/>
                  </w:pPr>
                  <w:r>
                    <w:t xml:space="preserve">photoreceptor cell/retinal cell</w:t>
                  </w:r>
                </w:p>
              </w:tc>
              <w:tc>
                <w:tcPr/>
                <w:p>
                  <w:pPr>
                    <w:pStyle w:val="Compact"/>
                    <w:jc w:val="right"/>
                    <w:jc w:val="center"/>
                  </w:pPr>
                  <w:r>
                    <w:t xml:space="preserve">5</w:t>
                  </w:r>
                </w:p>
              </w:tc>
              <w:tc>
                <w:tcPr/>
                <w:p>
                  <w:pPr>
                    <w:pStyle w:val="Compact"/>
                    <w:jc w:val="right"/>
                    <w:jc w:val="center"/>
                  </w:pPr>
                  <w:r>
                    <w:t xml:space="preserve">5</w:t>
                  </w:r>
                </w:p>
              </w:tc>
            </w:tr>
            <w:tr>
              <w:tc>
                <w:tcPr/>
                <w:p>
                  <w:pPr>
                    <w:pStyle w:val="Compact"/>
                    <w:jc w:val="left"/>
                    <w:jc w:val="center"/>
                  </w:pPr>
                  <w:r>
                    <w:t xml:space="preserve">Abnormality of the immune system</w:t>
                  </w:r>
                </w:p>
              </w:tc>
              <w:tc>
                <w:tcPr/>
                <w:p>
                  <w:pPr>
                    <w:pStyle w:val="Compact"/>
                    <w:jc w:val="right"/>
                    <w:jc w:val="center"/>
                  </w:pPr>
                  <w:r>
                    <w:t xml:space="preserve">255</w:t>
                  </w:r>
                </w:p>
              </w:tc>
              <w:tc>
                <w:tcPr/>
                <w:p>
                  <w:pPr>
                    <w:pStyle w:val="Compact"/>
                    <w:jc w:val="left"/>
                    <w:jc w:val="center"/>
                  </w:pPr>
                  <w:r>
                    <w:t xml:space="preserve">leukocyte</w:t>
                  </w:r>
                </w:p>
              </w:tc>
              <w:tc>
                <w:tcPr/>
                <w:p>
                  <w:pPr>
                    <w:pStyle w:val="Compact"/>
                    <w:jc w:val="right"/>
                    <w:jc w:val="center"/>
                  </w:pPr>
                  <w:r>
                    <w:t xml:space="preserve">14</w:t>
                  </w:r>
                </w:p>
              </w:tc>
              <w:tc>
                <w:tcPr/>
                <w:p>
                  <w:pPr>
                    <w:pStyle w:val="Compact"/>
                    <w:jc w:val="right"/>
                    <w:jc w:val="center"/>
                  </w:pPr>
                  <w:r>
                    <w:t xml:space="preserve">14</w:t>
                  </w:r>
                </w:p>
              </w:tc>
            </w:tr>
            <w:tr>
              <w:tc>
                <w:tcPr/>
                <w:p>
                  <w:pPr>
                    <w:pStyle w:val="Compact"/>
                    <w:jc w:val="left"/>
                    <w:jc w:val="center"/>
                  </w:pPr>
                  <w:r>
                    <w:t xml:space="preserve">Abnormality of the musculoskeletal system</w:t>
                  </w:r>
                </w:p>
              </w:tc>
              <w:tc>
                <w:tcPr/>
                <w:p>
                  <w:pPr>
                    <w:pStyle w:val="Compact"/>
                    <w:jc w:val="right"/>
                    <w:jc w:val="center"/>
                  </w:pPr>
                  <w:r>
                    <w:t xml:space="preserve">2155</w:t>
                  </w:r>
                </w:p>
              </w:tc>
              <w:tc>
                <w:tcPr/>
                <w:p>
                  <w:pPr>
                    <w:pStyle w:val="Compact"/>
                    <w:jc w:val="left"/>
                    <w:jc w:val="center"/>
                  </w:pPr>
                  <w:r>
                    <w:t xml:space="preserve">cell of skeletal muscle/chondrocyte</w:t>
                  </w:r>
                </w:p>
              </w:tc>
              <w:tc>
                <w:tcPr/>
                <w:p>
                  <w:pPr>
                    <w:pStyle w:val="Compact"/>
                    <w:jc w:val="right"/>
                    <w:jc w:val="center"/>
                  </w:pPr>
                  <w:r>
                    <w:t xml:space="preserve">4</w:t>
                  </w:r>
                </w:p>
              </w:tc>
              <w:tc>
                <w:tcPr/>
                <w:p>
                  <w:pPr>
                    <w:pStyle w:val="Compact"/>
                    <w:jc w:val="right"/>
                    <w:jc w:val="center"/>
                  </w:pPr>
                  <w:r>
                    <w:t xml:space="preserve">4</w:t>
                  </w:r>
                </w:p>
              </w:tc>
            </w:tr>
            <w:tr>
              <w:tc>
                <w:tcPr/>
                <w:p>
                  <w:pPr>
                    <w:pStyle w:val="Compact"/>
                    <w:jc w:val="left"/>
                    <w:jc w:val="center"/>
                  </w:pPr>
                  <w:r>
                    <w:t xml:space="preserve">Abnormality of the nervous system</w:t>
                  </w:r>
                </w:p>
              </w:tc>
              <w:tc>
                <w:tcPr/>
                <w:p>
                  <w:pPr>
                    <w:pStyle w:val="Compact"/>
                    <w:jc w:val="right"/>
                    <w:jc w:val="center"/>
                  </w:pPr>
                  <w:r>
                    <w:t xml:space="preserve">1647</w:t>
                  </w:r>
                </w:p>
              </w:tc>
              <w:tc>
                <w:tcPr/>
                <w:p>
                  <w:pPr>
                    <w:pStyle w:val="Compact"/>
                    <w:jc w:val="left"/>
                    <w:jc w:val="center"/>
                  </w:pPr>
                  <w:r>
                    <w:t xml:space="preserve">neural cell</w:t>
                  </w:r>
                </w:p>
              </w:tc>
              <w:tc>
                <w:tcPr/>
                <w:p>
                  <w:pPr>
                    <w:pStyle w:val="Compact"/>
                    <w:jc w:val="right"/>
                    <w:jc w:val="center"/>
                  </w:pPr>
                  <w:r>
                    <w:t xml:space="preserve">17</w:t>
                  </w:r>
                </w:p>
              </w:tc>
              <w:tc>
                <w:tcPr/>
                <w:p>
                  <w:pPr>
                    <w:pStyle w:val="Compact"/>
                    <w:jc w:val="right"/>
                    <w:jc w:val="center"/>
                  </w:pPr>
                  <w:r>
                    <w:t xml:space="preserve">24</w:t>
                  </w:r>
                </w:p>
              </w:tc>
            </w:tr>
            <w:tr>
              <w:tc>
                <w:tcPr/>
                <w:p>
                  <w:pPr>
                    <w:pStyle w:val="Compact"/>
                    <w:jc w:val="left"/>
                    <w:jc w:val="center"/>
                  </w:pPr>
                  <w:r>
                    <w:t xml:space="preserve">Abnormality of the respiratory system</w:t>
                  </w:r>
                </w:p>
              </w:tc>
              <w:tc>
                <w:tcPr/>
                <w:p>
                  <w:pPr>
                    <w:pStyle w:val="Compact"/>
                    <w:jc w:val="right"/>
                    <w:jc w:val="center"/>
                  </w:pPr>
                  <w:r>
                    <w:t xml:space="preserve">292</w:t>
                  </w:r>
                </w:p>
              </w:tc>
              <w:tc>
                <w:tcPr/>
                <w:p>
                  <w:pPr>
                    <w:pStyle w:val="Compact"/>
                    <w:jc w:val="left"/>
                    <w:jc w:val="center"/>
                  </w:pPr>
                  <w:r>
                    <w:t xml:space="preserve">respiratory epithelial cell/epithelial cell of lung</w:t>
                  </w:r>
                </w:p>
              </w:tc>
              <w:tc>
                <w:tcPr/>
                <w:p>
                  <w:pPr>
                    <w:pStyle w:val="Compact"/>
                    <w:jc w:val="right"/>
                    <w:jc w:val="center"/>
                  </w:pPr>
                  <w:r>
                    <w:t xml:space="preserve">3</w:t>
                  </w:r>
                </w:p>
              </w:tc>
              <w:tc>
                <w:tcPr/>
                <w:p>
                  <w:pPr>
                    <w:pStyle w:val="Compact"/>
                    <w:jc w:val="right"/>
                    <w:jc w:val="center"/>
                  </w:pPr>
                  <w:r>
                    <w:t xml:space="preserve">3</w:t>
                  </w:r>
                </w:p>
              </w:tc>
            </w:tr>
          </w:tbl>
          <w:bookmarkEnd w:id="3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0" w:name="tbl-gencc"/>
          <w:p>
            <w:pPr>
              <w:jc w:val="center"/>
            </w:pPr>
            <w:pPr>
              <w:jc w:val="left"/>
              <w:spacing w:before="200"/>
              <w:pStyle w:val="ImageCaption"/>
            </w:pPr>
            <w:r>
              <w:t xml:space="preserve">Table S5:</w:t>
            </w:r>
            <w:r>
              <w:t xml:space="preserve"> </w:t>
            </w:r>
            <w:r>
              <w:rPr>
                <w:b/>
                <w:bCs/>
              </w:rPr>
              <w:t xml:space="preserve">Encodings for GenCC evidence scores.</w:t>
            </w:r>
            <w:r>
              <w:t xml:space="preserve"> </w:t>
            </w:r>
            <w:r>
              <w:t xml:space="preserve">Assigned numeric values for the GenCC evidence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classification_curie</w:t>
                  </w:r>
                </w:p>
              </w:tc>
              <w:tc>
                <w:tcPr/>
                <w:p>
                  <w:pPr>
                    <w:pStyle w:val="Compact"/>
                    <w:jc w:val="left"/>
                    <w:jc w:val="center"/>
                  </w:pPr>
                  <w:r>
                    <w:t xml:space="preserve">classification_title</w:t>
                  </w:r>
                </w:p>
              </w:tc>
              <w:tc>
                <w:tcPr/>
                <w:p>
                  <w:pPr>
                    <w:pStyle w:val="Compact"/>
                    <w:jc w:val="right"/>
                    <w:jc w:val="center"/>
                  </w:pPr>
                  <w:r>
                    <w:t xml:space="preserve">encoding</w:t>
                  </w:r>
                </w:p>
              </w:tc>
            </w:tr>
            <w:tr>
              <w:tc>
                <w:tcPr/>
                <w:p>
                  <w:pPr>
                    <w:pStyle w:val="Compact"/>
                    <w:jc w:val="left"/>
                    <w:jc w:val="center"/>
                  </w:pPr>
                  <w:r>
                    <w:t xml:space="preserve">GENCC:100001</w:t>
                  </w:r>
                </w:p>
              </w:tc>
              <w:tc>
                <w:tcPr/>
                <w:p>
                  <w:pPr>
                    <w:pStyle w:val="Compact"/>
                    <w:jc w:val="left"/>
                    <w:jc w:val="center"/>
                  </w:pPr>
                  <w:r>
                    <w:t xml:space="preserve">Definitive</w:t>
                  </w:r>
                </w:p>
              </w:tc>
              <w:tc>
                <w:tcPr/>
                <w:p>
                  <w:pPr>
                    <w:pStyle w:val="Compact"/>
                    <w:jc w:val="right"/>
                    <w:jc w:val="center"/>
                  </w:pPr>
                  <w:r>
                    <w:t xml:space="preserve">6</w:t>
                  </w:r>
                </w:p>
              </w:tc>
            </w:tr>
            <w:tr>
              <w:tc>
                <w:tcPr/>
                <w:p>
                  <w:pPr>
                    <w:pStyle w:val="Compact"/>
                    <w:jc w:val="left"/>
                    <w:jc w:val="center"/>
                  </w:pPr>
                  <w:r>
                    <w:t xml:space="preserve">GENCC:100002</w:t>
                  </w:r>
                </w:p>
              </w:tc>
              <w:tc>
                <w:tcPr/>
                <w:p>
                  <w:pPr>
                    <w:pStyle w:val="Compact"/>
                    <w:jc w:val="left"/>
                    <w:jc w:val="center"/>
                  </w:pPr>
                  <w:r>
                    <w:t xml:space="preserve">Strong</w:t>
                  </w:r>
                </w:p>
              </w:tc>
              <w:tc>
                <w:tcPr/>
                <w:p>
                  <w:pPr>
                    <w:pStyle w:val="Compact"/>
                    <w:jc w:val="right"/>
                    <w:jc w:val="center"/>
                  </w:pPr>
                  <w:r>
                    <w:t xml:space="preserve">5</w:t>
                  </w:r>
                </w:p>
              </w:tc>
            </w:tr>
            <w:tr>
              <w:tc>
                <w:tcPr/>
                <w:p>
                  <w:pPr>
                    <w:pStyle w:val="Compact"/>
                    <w:jc w:val="left"/>
                    <w:jc w:val="center"/>
                  </w:pPr>
                  <w:r>
                    <w:t xml:space="preserve">GENCC:100003</w:t>
                  </w:r>
                </w:p>
              </w:tc>
              <w:tc>
                <w:tcPr/>
                <w:p>
                  <w:pPr>
                    <w:pStyle w:val="Compact"/>
                    <w:jc w:val="left"/>
                    <w:jc w:val="center"/>
                  </w:pPr>
                  <w:r>
                    <w:t xml:space="preserve">Moderate</w:t>
                  </w:r>
                </w:p>
              </w:tc>
              <w:tc>
                <w:tcPr/>
                <w:p>
                  <w:pPr>
                    <w:pStyle w:val="Compact"/>
                    <w:jc w:val="right"/>
                    <w:jc w:val="center"/>
                  </w:pPr>
                  <w:r>
                    <w:t xml:space="preserve">4</w:t>
                  </w:r>
                </w:p>
              </w:tc>
            </w:tr>
            <w:tr>
              <w:tc>
                <w:tcPr/>
                <w:p>
                  <w:pPr>
                    <w:pStyle w:val="Compact"/>
                    <w:jc w:val="left"/>
                    <w:jc w:val="center"/>
                  </w:pPr>
                  <w:r>
                    <w:t xml:space="preserve">GENCC:100009</w:t>
                  </w:r>
                </w:p>
              </w:tc>
              <w:tc>
                <w:tcPr/>
                <w:p>
                  <w:pPr>
                    <w:pStyle w:val="Compact"/>
                    <w:jc w:val="left"/>
                    <w:jc w:val="center"/>
                  </w:pPr>
                  <w:r>
                    <w:t xml:space="preserve">Supportive</w:t>
                  </w:r>
                </w:p>
              </w:tc>
              <w:tc>
                <w:tcPr/>
                <w:p>
                  <w:pPr>
                    <w:pStyle w:val="Compact"/>
                    <w:jc w:val="right"/>
                    <w:jc w:val="center"/>
                  </w:pPr>
                  <w:r>
                    <w:t xml:space="preserve">3</w:t>
                  </w:r>
                </w:p>
              </w:tc>
            </w:tr>
            <w:tr>
              <w:tc>
                <w:tcPr/>
                <w:p>
                  <w:pPr>
                    <w:pStyle w:val="Compact"/>
                    <w:jc w:val="left"/>
                    <w:jc w:val="center"/>
                  </w:pPr>
                  <w:r>
                    <w:t xml:space="preserve">GENCC:100004</w:t>
                  </w:r>
                </w:p>
              </w:tc>
              <w:tc>
                <w:tcPr/>
                <w:p>
                  <w:pPr>
                    <w:pStyle w:val="Compact"/>
                    <w:jc w:val="left"/>
                    <w:jc w:val="center"/>
                  </w:pPr>
                  <w:r>
                    <w:t xml:space="preserve">Limited</w:t>
                  </w:r>
                </w:p>
              </w:tc>
              <w:tc>
                <w:tcPr/>
                <w:p>
                  <w:pPr>
                    <w:pStyle w:val="Compact"/>
                    <w:jc w:val="right"/>
                    <w:jc w:val="center"/>
                  </w:pPr>
                  <w:r>
                    <w:t xml:space="preserve">2</w:t>
                  </w:r>
                </w:p>
              </w:tc>
            </w:tr>
            <w:tr>
              <w:tc>
                <w:tcPr/>
                <w:p>
                  <w:pPr>
                    <w:pStyle w:val="Compact"/>
                    <w:jc w:val="left"/>
                    <w:jc w:val="center"/>
                  </w:pPr>
                  <w:r>
                    <w:t xml:space="preserve">GENCC:100005</w:t>
                  </w:r>
                </w:p>
              </w:tc>
              <w:tc>
                <w:tcPr/>
                <w:p>
                  <w:pPr>
                    <w:pStyle w:val="Compact"/>
                    <w:jc w:val="left"/>
                    <w:jc w:val="center"/>
                  </w:pPr>
                  <w:r>
                    <w:t xml:space="preserve">Disputed Evidence</w:t>
                  </w:r>
                </w:p>
              </w:tc>
              <w:tc>
                <w:tcPr/>
                <w:p>
                  <w:pPr>
                    <w:pStyle w:val="Compact"/>
                    <w:jc w:val="right"/>
                    <w:jc w:val="center"/>
                  </w:pPr>
                  <w:r>
                    <w:t xml:space="preserve">1</w:t>
                  </w:r>
                </w:p>
              </w:tc>
            </w:tr>
            <w:tr>
              <w:tc>
                <w:tcPr/>
                <w:p>
                  <w:pPr>
                    <w:pStyle w:val="Compact"/>
                    <w:jc w:val="left"/>
                    <w:jc w:val="center"/>
                  </w:pPr>
                  <w:r>
                    <w:t xml:space="preserve">GENCC:100008</w:t>
                  </w:r>
                </w:p>
              </w:tc>
              <w:tc>
                <w:tcPr/>
                <w:p>
                  <w:pPr>
                    <w:pStyle w:val="Compact"/>
                    <w:jc w:val="left"/>
                    <w:jc w:val="center"/>
                  </w:pPr>
                  <w:r>
                    <w:t xml:space="preserve">No Known Disease Relationship</w:t>
                  </w:r>
                </w:p>
              </w:tc>
              <w:tc>
                <w:tcPr/>
                <w:p>
                  <w:pPr>
                    <w:pStyle w:val="Compact"/>
                    <w:jc w:val="right"/>
                    <w:jc w:val="center"/>
                  </w:pPr>
                  <w:r>
                    <w:t xml:space="preserve">0</w:t>
                  </w:r>
                </w:p>
              </w:tc>
            </w:tr>
            <w:tr>
              <w:tc>
                <w:tcPr/>
                <w:p>
                  <w:pPr>
                    <w:pStyle w:val="Compact"/>
                    <w:jc w:val="left"/>
                    <w:jc w:val="center"/>
                  </w:pPr>
                  <w:r>
                    <w:t xml:space="preserve">GENCC:100006</w:t>
                  </w:r>
                </w:p>
              </w:tc>
              <w:tc>
                <w:tcPr/>
                <w:p>
                  <w:pPr>
                    <w:pStyle w:val="Compact"/>
                    <w:jc w:val="left"/>
                    <w:jc w:val="center"/>
                  </w:pPr>
                  <w:r>
                    <w:t xml:space="preserve">Refuted Evidence</w:t>
                  </w:r>
                </w:p>
              </w:tc>
              <w:tc>
                <w:tcPr/>
                <w:p>
                  <w:pPr>
                    <w:pStyle w:val="Compact"/>
                    <w:jc w:val="right"/>
                    <w:jc w:val="center"/>
                  </w:pPr>
                  <w:r>
                    <w:t xml:space="preserve">0</w:t>
                  </w:r>
                </w:p>
              </w:tc>
            </w:tr>
          </w:tbl>
          <w:bookmarkEnd w:id="360"/>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1" w:name="tbl-celltypes"/>
          <w:p>
            <w:pPr>
              <w:jc w:val="center"/>
            </w:pPr>
            <w:pPr>
              <w:jc w:val="left"/>
              <w:spacing w:before="200"/>
              <w:pStyle w:val="ImageCaption"/>
            </w:pPr>
            <w:r>
              <w:t xml:space="preserve">Table S6:</w:t>
            </w:r>
            <w:r>
              <w:t xml:space="preserve"> </w:t>
            </w:r>
            <w:r>
              <w:rPr>
                <w:b/>
                <w:bCs/>
              </w:rPr>
              <w:t xml:space="preserve">On-target cell types for each Human Phenotype Ontology (HPO) ancestral branch.</w:t>
            </w:r>
            <w:r>
              <w:t xml:space="preserve"> </w:t>
            </w:r>
            <w:r>
              <w:t xml:space="preserve">Cell type-phenotype branch pairings were manually curated by comparing high-level HPO terms to terms within the Cell Ontology (CL).</w:t>
            </w:r>
            <w:r>
              <w:t xml:space="preserve"> </w:t>
            </w:r>
            <w:r>
              <w:t xml:space="preserve">Each HPO branch is shown as bolded row dividers.</w:t>
            </w:r>
            <w:r>
              <w:t xml:space="preserve"> </w:t>
            </w:r>
            <w:r>
              <w:t xml:space="preserve">Ancestral CL branch names are shown in the first column, along with the specific CL names and IDs.</w:t>
            </w:r>
          </w:p>
          <w:tbl>
            <w:tblPr>
              <w:tblStyle w:val="Table"/>
              <w:tblW w:type="pct" w:w="5000"/>
              <w:tblLayout w:type="fixed"/>
              <w:tblLook w:firstRow="1" w:lastRow="0" w:firstColumn="0" w:lastColumn="0" w:noHBand="0" w:noVBand="0" w:val="0020"/>
            </w:tblPr>
            <w:tblGrid>
              <w:gridCol w:w="2217"/>
              <w:gridCol w:w="2851"/>
              <w:gridCol w:w="2270"/>
              <w:gridCol w:w="580"/>
            </w:tblGrid>
            <w:tr>
              <w:trPr>
                <w:tblHeader w:val="on"/>
              </w:trPr>
              <w:tc>
                <w:tcPr/>
                <w:p>
                  <w:pPr>
                    <w:pStyle w:val="Compact"/>
                    <w:jc w:val="left"/>
                    <w:jc w:val="center"/>
                  </w:pPr>
                  <w:r>
                    <w:t xml:space="preserve">HPO branch</w:t>
                  </w:r>
                </w:p>
              </w:tc>
              <w:tc>
                <w:tcPr/>
                <w:p>
                  <w:pPr>
                    <w:pStyle w:val="Compact"/>
                    <w:jc w:val="left"/>
                    <w:jc w:val="center"/>
                  </w:pPr>
                  <w:r>
                    <w:t xml:space="preserve">CL branch</w:t>
                  </w:r>
                </w:p>
              </w:tc>
              <w:tc>
                <w:tcPr/>
                <w:p>
                  <w:pPr>
                    <w:pStyle w:val="Compact"/>
                    <w:jc w:val="left"/>
                    <w:jc w:val="center"/>
                  </w:pPr>
                  <w:r>
                    <w:t xml:space="preserve">CL name</w:t>
                  </w:r>
                </w:p>
              </w:tc>
              <w:tc>
                <w:tcPr/>
                <w:p>
                  <w:pPr>
                    <w:pStyle w:val="Compact"/>
                    <w:jc w:val="left"/>
                    <w:jc w:val="center"/>
                  </w:pPr>
                  <w:r>
                    <w:t xml:space="preserve">CL ID</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cardiac muscle cell</w:t>
                  </w:r>
                </w:p>
              </w:tc>
              <w:tc>
                <w:tcPr/>
                <w:p>
                  <w:pPr>
                    <w:pStyle w:val="Compact"/>
                    <w:jc w:val="left"/>
                    <w:jc w:val="center"/>
                  </w:pPr>
                  <w:r>
                    <w:t xml:space="preserve">CL:0000746</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regular atrial cardiac myocyte</w:t>
                  </w:r>
                </w:p>
              </w:tc>
              <w:tc>
                <w:tcPr/>
                <w:p>
                  <w:pPr>
                    <w:pStyle w:val="Compact"/>
                    <w:jc w:val="left"/>
                    <w:jc w:val="center"/>
                  </w:pPr>
                  <w:r>
                    <w:t xml:space="preserve">CL:0002129</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endocardial cell</w:t>
                  </w:r>
                </w:p>
              </w:tc>
              <w:tc>
                <w:tcPr/>
                <w:p>
                  <w:pPr>
                    <w:pStyle w:val="Compact"/>
                    <w:jc w:val="left"/>
                    <w:jc w:val="center"/>
                  </w:pPr>
                  <w:r>
                    <w:t xml:space="preserve">CL:0002350</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epicardial adipocyte</w:t>
                  </w:r>
                </w:p>
              </w:tc>
              <w:tc>
                <w:tcPr/>
                <w:p>
                  <w:pPr>
                    <w:pStyle w:val="Compact"/>
                    <w:jc w:val="left"/>
                    <w:jc w:val="center"/>
                  </w:pPr>
                  <w:r>
                    <w:t xml:space="preserve">CL:1000309</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ventricular cardiac muscle cell</w:t>
                  </w:r>
                </w:p>
              </w:tc>
              <w:tc>
                <w:tcPr/>
                <w:p>
                  <w:pPr>
                    <w:pStyle w:val="Compact"/>
                    <w:jc w:val="left"/>
                    <w:jc w:val="center"/>
                  </w:pPr>
                  <w:r>
                    <w:t xml:space="preserve">CL:2000046</w:t>
                  </w:r>
                </w:p>
              </w:tc>
            </w:tr>
            <w:tr>
              <w:tc>
                <w:tcPr/>
                <w:p>
                  <w:pPr>
                    <w:pStyle w:val="Compact"/>
                    <w:jc w:val="left"/>
                    <w:jc w:val="center"/>
                  </w:pPr>
                  <w:r>
                    <w:t xml:space="preserve">Abnormality of the endocrine system</w:t>
                  </w:r>
                </w:p>
              </w:tc>
              <w:tc>
                <w:tcPr/>
                <w:p>
                  <w:pPr>
                    <w:pStyle w:val="Compact"/>
                    <w:jc w:val="left"/>
                    <w:jc w:val="center"/>
                  </w:pPr>
                  <w:r>
                    <w:t xml:space="preserve">endocrine cell</w:t>
                  </w:r>
                </w:p>
              </w:tc>
              <w:tc>
                <w:tcPr/>
                <w:p>
                  <w:pPr>
                    <w:pStyle w:val="Compact"/>
                    <w:jc w:val="left"/>
                    <w:jc w:val="center"/>
                  </w:pPr>
                  <w:r>
                    <w:t xml:space="preserve">endocrine cell</w:t>
                  </w:r>
                </w:p>
              </w:tc>
              <w:tc>
                <w:tcPr/>
                <w:p>
                  <w:pPr>
                    <w:pStyle w:val="Compact"/>
                    <w:jc w:val="left"/>
                    <w:jc w:val="center"/>
                  </w:pPr>
                  <w:r>
                    <w:t xml:space="preserve">CL:0000163</w:t>
                  </w:r>
                </w:p>
              </w:tc>
            </w:tr>
            <w:tr>
              <w:tc>
                <w:tcPr/>
                <w:p>
                  <w:pPr>
                    <w:pStyle w:val="Compact"/>
                    <w:jc w:val="left"/>
                    <w:jc w:val="center"/>
                  </w:pPr>
                  <w:r>
                    <w:t xml:space="preserve">Abnormality of the endocrine system</w:t>
                  </w:r>
                </w:p>
              </w:tc>
              <w:tc>
                <w:tcPr/>
                <w:p>
                  <w:pPr>
                    <w:pStyle w:val="Compact"/>
                    <w:jc w:val="left"/>
                    <w:jc w:val="center"/>
                  </w:pPr>
                  <w:r>
                    <w:t xml:space="preserve">endocrine cell</w:t>
                  </w:r>
                </w:p>
              </w:tc>
              <w:tc>
                <w:tcPr/>
                <w:p>
                  <w:pPr>
                    <w:pStyle w:val="Compact"/>
                    <w:jc w:val="left"/>
                    <w:jc w:val="center"/>
                  </w:pPr>
                  <w:r>
                    <w:t xml:space="preserve">neuroendocrine cell</w:t>
                  </w:r>
                </w:p>
              </w:tc>
              <w:tc>
                <w:tcPr/>
                <w:p>
                  <w:pPr>
                    <w:pStyle w:val="Compact"/>
                    <w:jc w:val="left"/>
                    <w:jc w:val="center"/>
                  </w:pPr>
                  <w:r>
                    <w:t xml:space="preserve">CL:0000165</w:t>
                  </w:r>
                </w:p>
              </w:tc>
            </w:tr>
            <w:tr>
              <w:tc>
                <w:tcPr/>
                <w:p>
                  <w:pPr>
                    <w:pStyle w:val="Compact"/>
                    <w:jc w:val="left"/>
                    <w:jc w:val="center"/>
                  </w:pPr>
                  <w:r>
                    <w:t xml:space="preserve">Abnormality of the endocrine system</w:t>
                  </w:r>
                </w:p>
              </w:tc>
              <w:tc>
                <w:tcPr/>
                <w:p>
                  <w:pPr>
                    <w:pStyle w:val="Compact"/>
                    <w:jc w:val="left"/>
                    <w:jc w:val="center"/>
                  </w:pPr>
                  <w:r>
                    <w:t xml:space="preserve">endocrine cell</w:t>
                  </w:r>
                </w:p>
              </w:tc>
              <w:tc>
                <w:tcPr/>
                <w:p>
                  <w:pPr>
                    <w:pStyle w:val="Compact"/>
                    <w:jc w:val="left"/>
                    <w:jc w:val="center"/>
                  </w:pPr>
                  <w:r>
                    <w:t xml:space="preserve">chromaffin cell</w:t>
                  </w:r>
                </w:p>
              </w:tc>
              <w:tc>
                <w:tcPr/>
                <w:p>
                  <w:pPr>
                    <w:pStyle w:val="Compact"/>
                    <w:jc w:val="left"/>
                    <w:jc w:val="center"/>
                  </w:pPr>
                  <w:r>
                    <w:t xml:space="preserve">CL:0000166</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photoreceptor cell</w:t>
                  </w:r>
                </w:p>
              </w:tc>
              <w:tc>
                <w:tcPr/>
                <w:p>
                  <w:pPr>
                    <w:pStyle w:val="Compact"/>
                    <w:jc w:val="left"/>
                    <w:jc w:val="center"/>
                  </w:pPr>
                  <w:r>
                    <w:t xml:space="preserve">CL:0000210</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amacrine cell</w:t>
                  </w:r>
                </w:p>
              </w:tc>
              <w:tc>
                <w:tcPr/>
                <w:p>
                  <w:pPr>
                    <w:pStyle w:val="Compact"/>
                    <w:jc w:val="left"/>
                    <w:jc w:val="center"/>
                  </w:pPr>
                  <w:r>
                    <w:t xml:space="preserve">CL:0000561</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Mueller cell</w:t>
                  </w:r>
                </w:p>
              </w:tc>
              <w:tc>
                <w:tcPr/>
                <w:p>
                  <w:pPr>
                    <w:pStyle w:val="Compact"/>
                    <w:jc w:val="left"/>
                    <w:jc w:val="center"/>
                  </w:pPr>
                  <w:r>
                    <w:t xml:space="preserve">CL:0000636</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retinal pigment epithelial cell</w:t>
                  </w:r>
                </w:p>
              </w:tc>
              <w:tc>
                <w:tcPr/>
                <w:p>
                  <w:pPr>
                    <w:pStyle w:val="Compact"/>
                    <w:jc w:val="left"/>
                    <w:jc w:val="center"/>
                  </w:pPr>
                  <w:r>
                    <w:t xml:space="preserve">CL:0002586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T cell</w:t>
                  </w:r>
                </w:p>
              </w:tc>
              <w:tc>
                <w:tcPr/>
                <w:p>
                  <w:pPr>
                    <w:pStyle w:val="Compact"/>
                    <w:jc w:val="left"/>
                    <w:jc w:val="center"/>
                  </w:pPr>
                  <w:r>
                    <w:t xml:space="preserve">CL:0000084</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mature neutrophil</w:t>
                  </w:r>
                </w:p>
              </w:tc>
              <w:tc>
                <w:tcPr/>
                <w:p>
                  <w:pPr>
                    <w:pStyle w:val="Compact"/>
                    <w:jc w:val="left"/>
                    <w:jc w:val="center"/>
                  </w:pPr>
                  <w:r>
                    <w:t xml:space="preserve">CL:0000096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mast cell</w:t>
                  </w:r>
                </w:p>
              </w:tc>
              <w:tc>
                <w:tcPr/>
                <w:p>
                  <w:pPr>
                    <w:pStyle w:val="Compact"/>
                    <w:jc w:val="left"/>
                    <w:jc w:val="center"/>
                  </w:pPr>
                  <w:r>
                    <w:t xml:space="preserve">CL:0000097</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microglial cell</w:t>
                  </w:r>
                </w:p>
              </w:tc>
              <w:tc>
                <w:tcPr/>
                <w:p>
                  <w:pPr>
                    <w:pStyle w:val="Compact"/>
                    <w:jc w:val="left"/>
                    <w:jc w:val="center"/>
                  </w:pPr>
                  <w:r>
                    <w:t xml:space="preserve">CL:0000129</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professional antigen presenting cell</w:t>
                  </w:r>
                </w:p>
              </w:tc>
              <w:tc>
                <w:tcPr/>
                <w:p>
                  <w:pPr>
                    <w:pStyle w:val="Compact"/>
                    <w:jc w:val="left"/>
                    <w:jc w:val="center"/>
                  </w:pPr>
                  <w:r>
                    <w:t xml:space="preserve">CL:0000145</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macrophage</w:t>
                  </w:r>
                </w:p>
              </w:tc>
              <w:tc>
                <w:tcPr/>
                <w:p>
                  <w:pPr>
                    <w:pStyle w:val="Compact"/>
                    <w:jc w:val="left"/>
                    <w:jc w:val="center"/>
                  </w:pPr>
                  <w:r>
                    <w:t xml:space="preserve">CL:0000235</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B cell</w:t>
                  </w:r>
                </w:p>
              </w:tc>
              <w:tc>
                <w:tcPr/>
                <w:p>
                  <w:pPr>
                    <w:pStyle w:val="Compact"/>
                    <w:jc w:val="left"/>
                    <w:jc w:val="center"/>
                  </w:pPr>
                  <w:r>
                    <w:t xml:space="preserve">CL:0000236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dendritic cell</w:t>
                  </w:r>
                </w:p>
              </w:tc>
              <w:tc>
                <w:tcPr/>
                <w:p>
                  <w:pPr>
                    <w:pStyle w:val="Compact"/>
                    <w:jc w:val="left"/>
                    <w:jc w:val="center"/>
                  </w:pPr>
                  <w:r>
                    <w:t xml:space="preserve">CL:0000451</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monocyte</w:t>
                  </w:r>
                </w:p>
              </w:tc>
              <w:tc>
                <w:tcPr/>
                <w:p>
                  <w:pPr>
                    <w:pStyle w:val="Compact"/>
                    <w:jc w:val="left"/>
                    <w:jc w:val="center"/>
                  </w:pPr>
                  <w:r>
                    <w:t xml:space="preserve">CL:0000576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plasma cell</w:t>
                  </w:r>
                </w:p>
              </w:tc>
              <w:tc>
                <w:tcPr/>
                <w:p>
                  <w:pPr>
                    <w:pStyle w:val="Compact"/>
                    <w:jc w:val="left"/>
                    <w:jc w:val="center"/>
                  </w:pPr>
                  <w:r>
                    <w:t xml:space="preserve">CL:0000786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alternatively activated macrophage</w:t>
                  </w:r>
                </w:p>
              </w:tc>
              <w:tc>
                <w:tcPr/>
                <w:p>
                  <w:pPr>
                    <w:pStyle w:val="Compact"/>
                    <w:jc w:val="left"/>
                    <w:jc w:val="center"/>
                  </w:pPr>
                  <w:r>
                    <w:t xml:space="preserve">CL:0000890</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thymocyte</w:t>
                  </w:r>
                </w:p>
              </w:tc>
              <w:tc>
                <w:tcPr/>
                <w:p>
                  <w:pPr>
                    <w:pStyle w:val="Compact"/>
                    <w:jc w:val="left"/>
                    <w:jc w:val="center"/>
                  </w:pPr>
                  <w:r>
                    <w:t xml:space="preserve">CL:0000893</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innate lymphoid cell</w:t>
                  </w:r>
                </w:p>
              </w:tc>
              <w:tc>
                <w:tcPr/>
                <w:p>
                  <w:pPr>
                    <w:pStyle w:val="Compact"/>
                    <w:jc w:val="left"/>
                    <w:jc w:val="center"/>
                  </w:pPr>
                  <w:r>
                    <w:t xml:space="preserve">CL:0001065</w:t>
                  </w:r>
                </w:p>
              </w:tc>
            </w:tr>
            <w:tr>
              <w:tc>
                <w:tcPr/>
                <w:p>
                  <w:pPr>
                    <w:pStyle w:val="Compact"/>
                    <w:jc w:val="left"/>
                    <w:jc w:val="center"/>
                  </w:pPr>
                  <w:r>
                    <w:t xml:space="preserve">Abnormality of the musculoskeletal system</w:t>
                  </w:r>
                </w:p>
              </w:tc>
              <w:tc>
                <w:tcPr/>
                <w:p>
                  <w:pPr>
                    <w:pStyle w:val="Compact"/>
                    <w:jc w:val="left"/>
                    <w:jc w:val="center"/>
                  </w:pPr>
                  <w:r>
                    <w:t xml:space="preserve">cell of skeletal muscle / chondrocyte</w:t>
                  </w:r>
                </w:p>
              </w:tc>
              <w:tc>
                <w:tcPr/>
                <w:p>
                  <w:pPr>
                    <w:pStyle w:val="Compact"/>
                    <w:jc w:val="left"/>
                    <w:jc w:val="center"/>
                  </w:pPr>
                  <w:r>
                    <w:t xml:space="preserve">chondrocyte</w:t>
                  </w:r>
                </w:p>
              </w:tc>
              <w:tc>
                <w:tcPr/>
                <w:p>
                  <w:pPr>
                    <w:pStyle w:val="Compact"/>
                    <w:jc w:val="left"/>
                    <w:jc w:val="center"/>
                  </w:pPr>
                  <w:r>
                    <w:t xml:space="preserve">CL:0000138</w:t>
                  </w:r>
                </w:p>
              </w:tc>
            </w:tr>
            <w:tr>
              <w:tc>
                <w:tcPr/>
                <w:p>
                  <w:pPr>
                    <w:pStyle w:val="Compact"/>
                    <w:jc w:val="left"/>
                    <w:jc w:val="center"/>
                  </w:pPr>
                  <w:r>
                    <w:t xml:space="preserve">Abnormality of the musculoskeletal system</w:t>
                  </w:r>
                </w:p>
              </w:tc>
              <w:tc>
                <w:tcPr/>
                <w:p>
                  <w:pPr>
                    <w:pStyle w:val="Compact"/>
                    <w:jc w:val="left"/>
                    <w:jc w:val="center"/>
                  </w:pPr>
                  <w:r>
                    <w:t xml:space="preserve">cell of skeletal muscle / chondrocyte</w:t>
                  </w:r>
                </w:p>
              </w:tc>
              <w:tc>
                <w:tcPr/>
                <w:p>
                  <w:pPr>
                    <w:pStyle w:val="Compact"/>
                    <w:jc w:val="left"/>
                    <w:jc w:val="center"/>
                  </w:pPr>
                  <w:r>
                    <w:t xml:space="preserve">cell of skeletal muscle</w:t>
                  </w:r>
                </w:p>
              </w:tc>
              <w:tc>
                <w:tcPr/>
                <w:p>
                  <w:pPr>
                    <w:pStyle w:val="Compact"/>
                    <w:jc w:val="left"/>
                    <w:jc w:val="center"/>
                  </w:pPr>
                  <w:r>
                    <w:t xml:space="preserve">CL:0000188</w:t>
                  </w:r>
                </w:p>
              </w:tc>
            </w:tr>
            <w:tr>
              <w:tc>
                <w:tcPr/>
                <w:p>
                  <w:pPr>
                    <w:pStyle w:val="Compact"/>
                    <w:jc w:val="left"/>
                    <w:jc w:val="center"/>
                  </w:pPr>
                  <w:r>
                    <w:t xml:space="preserve">Abnormality of the musculoskeletal system</w:t>
                  </w:r>
                </w:p>
              </w:tc>
              <w:tc>
                <w:tcPr/>
                <w:p>
                  <w:pPr>
                    <w:pStyle w:val="Compact"/>
                    <w:jc w:val="left"/>
                    <w:jc w:val="center"/>
                  </w:pPr>
                  <w:r>
                    <w:t xml:space="preserve">cell of skeletal muscle / chondrocyte</w:t>
                  </w:r>
                </w:p>
              </w:tc>
              <w:tc>
                <w:tcPr/>
                <w:p>
                  <w:pPr>
                    <w:pStyle w:val="Compact"/>
                    <w:jc w:val="left"/>
                    <w:jc w:val="center"/>
                  </w:pPr>
                  <w:r>
                    <w:t xml:space="preserve">skeletal muscle satellite cell</w:t>
                  </w:r>
                </w:p>
              </w:tc>
              <w:tc>
                <w:tcPr/>
                <w:p>
                  <w:pPr>
                    <w:pStyle w:val="Compact"/>
                    <w:jc w:val="left"/>
                    <w:jc w:val="center"/>
                  </w:pPr>
                  <w:r>
                    <w:t xml:space="preserve">CL:0000594</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bipolar neuron</w:t>
                  </w:r>
                </w:p>
              </w:tc>
              <w:tc>
                <w:tcPr/>
                <w:p>
                  <w:pPr>
                    <w:pStyle w:val="Compact"/>
                    <w:jc w:val="left"/>
                    <w:jc w:val="center"/>
                  </w:pPr>
                  <w:r>
                    <w:t xml:space="preserve">CL:0000103</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granule cell</w:t>
                  </w:r>
                </w:p>
              </w:tc>
              <w:tc>
                <w:tcPr/>
                <w:p>
                  <w:pPr>
                    <w:pStyle w:val="Compact"/>
                    <w:jc w:val="left"/>
                    <w:jc w:val="center"/>
                  </w:pPr>
                  <w:r>
                    <w:t xml:space="preserve">CL:0000120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Purkinje cell</w:t>
                  </w:r>
                </w:p>
              </w:tc>
              <w:tc>
                <w:tcPr/>
                <w:p>
                  <w:pPr>
                    <w:pStyle w:val="Compact"/>
                    <w:jc w:val="left"/>
                    <w:jc w:val="center"/>
                  </w:pPr>
                  <w:r>
                    <w:t xml:space="preserve">CL:0000121</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glial cell</w:t>
                  </w:r>
                </w:p>
              </w:tc>
              <w:tc>
                <w:tcPr/>
                <w:p>
                  <w:pPr>
                    <w:pStyle w:val="Compact"/>
                    <w:jc w:val="left"/>
                    <w:jc w:val="center"/>
                  </w:pPr>
                  <w:r>
                    <w:t xml:space="preserve">CL:0000125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astrocyte</w:t>
                  </w:r>
                </w:p>
              </w:tc>
              <w:tc>
                <w:tcPr/>
                <w:p>
                  <w:pPr>
                    <w:pStyle w:val="Compact"/>
                    <w:jc w:val="left"/>
                    <w:jc w:val="center"/>
                  </w:pPr>
                  <w:r>
                    <w:t xml:space="preserve">CL:0000127</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oligodendrocyte</w:t>
                  </w:r>
                </w:p>
              </w:tc>
              <w:tc>
                <w:tcPr/>
                <w:p>
                  <w:pPr>
                    <w:pStyle w:val="Compact"/>
                    <w:jc w:val="left"/>
                    <w:jc w:val="center"/>
                  </w:pPr>
                  <w:r>
                    <w:t xml:space="preserve">CL:0000128</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microglial cell</w:t>
                  </w:r>
                </w:p>
              </w:tc>
              <w:tc>
                <w:tcPr/>
                <w:p>
                  <w:pPr>
                    <w:pStyle w:val="Compact"/>
                    <w:jc w:val="left"/>
                    <w:jc w:val="center"/>
                  </w:pPr>
                  <w:r>
                    <w:t xml:space="preserve">CL:0000129</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neuroendocrine cell</w:t>
                  </w:r>
                </w:p>
              </w:tc>
              <w:tc>
                <w:tcPr/>
                <w:p>
                  <w:pPr>
                    <w:pStyle w:val="Compact"/>
                    <w:jc w:val="left"/>
                    <w:jc w:val="center"/>
                  </w:pPr>
                  <w:r>
                    <w:t xml:space="preserve">CL:0000165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chromaffin cell</w:t>
                  </w:r>
                </w:p>
              </w:tc>
              <w:tc>
                <w:tcPr/>
                <w:p>
                  <w:pPr>
                    <w:pStyle w:val="Compact"/>
                    <w:jc w:val="left"/>
                    <w:jc w:val="center"/>
                  </w:pPr>
                  <w:r>
                    <w:t xml:space="preserve">CL:0000166</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photoreceptor cell</w:t>
                  </w:r>
                </w:p>
              </w:tc>
              <w:tc>
                <w:tcPr/>
                <w:p>
                  <w:pPr>
                    <w:pStyle w:val="Compact"/>
                    <w:jc w:val="left"/>
                    <w:jc w:val="center"/>
                  </w:pPr>
                  <w:r>
                    <w:t xml:space="preserve">CL:0000210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inhibitory interneuron</w:t>
                  </w:r>
                </w:p>
              </w:tc>
              <w:tc>
                <w:tcPr/>
                <w:p>
                  <w:pPr>
                    <w:pStyle w:val="Compact"/>
                    <w:jc w:val="left"/>
                    <w:jc w:val="center"/>
                  </w:pPr>
                  <w:r>
                    <w:t xml:space="preserve">CL:0000498</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neuron</w:t>
                  </w:r>
                </w:p>
              </w:tc>
              <w:tc>
                <w:tcPr/>
                <w:p>
                  <w:pPr>
                    <w:pStyle w:val="Compact"/>
                    <w:jc w:val="left"/>
                    <w:jc w:val="center"/>
                  </w:pPr>
                  <w:r>
                    <w:t xml:space="preserve">CL:0000540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neuronal brush cell</w:t>
                  </w:r>
                </w:p>
              </w:tc>
              <w:tc>
                <w:tcPr/>
                <w:p>
                  <w:pPr>
                    <w:pStyle w:val="Compact"/>
                    <w:jc w:val="left"/>
                    <w:jc w:val="center"/>
                  </w:pPr>
                  <w:r>
                    <w:t xml:space="preserve">CL:0000555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amacrine cell</w:t>
                  </w:r>
                </w:p>
              </w:tc>
              <w:tc>
                <w:tcPr/>
                <w:p>
                  <w:pPr>
                    <w:pStyle w:val="Compact"/>
                    <w:jc w:val="left"/>
                    <w:jc w:val="center"/>
                  </w:pPr>
                  <w:r>
                    <w:t xml:space="preserve">CL:0000561</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GABAergic neuron</w:t>
                  </w:r>
                </w:p>
              </w:tc>
              <w:tc>
                <w:tcPr/>
                <w:p>
                  <w:pPr>
                    <w:pStyle w:val="Compact"/>
                    <w:jc w:val="left"/>
                    <w:jc w:val="center"/>
                  </w:pPr>
                  <w:r>
                    <w:t xml:space="preserve">CL:0000617</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Mueller cell</w:t>
                  </w:r>
                </w:p>
              </w:tc>
              <w:tc>
                <w:tcPr/>
                <w:p>
                  <w:pPr>
                    <w:pStyle w:val="Compact"/>
                    <w:jc w:val="left"/>
                    <w:jc w:val="center"/>
                  </w:pPr>
                  <w:r>
                    <w:t xml:space="preserve">CL:0000636</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glutamatergic neuron</w:t>
                  </w:r>
                </w:p>
              </w:tc>
              <w:tc>
                <w:tcPr/>
                <w:p>
                  <w:pPr>
                    <w:pStyle w:val="Compact"/>
                    <w:jc w:val="left"/>
                    <w:jc w:val="center"/>
                  </w:pPr>
                  <w:r>
                    <w:t xml:space="preserve">CL:0000679</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retinal ganglion cell</w:t>
                  </w:r>
                </w:p>
              </w:tc>
              <w:tc>
                <w:tcPr/>
                <w:p>
                  <w:pPr>
                    <w:pStyle w:val="Compact"/>
                    <w:jc w:val="left"/>
                    <w:jc w:val="center"/>
                  </w:pPr>
                  <w:r>
                    <w:t xml:space="preserve">CL:0000740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retina horizontal cell</w:t>
                  </w:r>
                </w:p>
              </w:tc>
              <w:tc>
                <w:tcPr/>
                <w:p>
                  <w:pPr>
                    <w:pStyle w:val="Compact"/>
                    <w:jc w:val="left"/>
                    <w:jc w:val="center"/>
                  </w:pPr>
                  <w:r>
                    <w:t xml:space="preserve">CL:0000745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Schwann cell</w:t>
                  </w:r>
                </w:p>
              </w:tc>
              <w:tc>
                <w:tcPr/>
                <w:p>
                  <w:pPr>
                    <w:pStyle w:val="Compact"/>
                    <w:jc w:val="left"/>
                    <w:jc w:val="center"/>
                  </w:pPr>
                  <w:r>
                    <w:t xml:space="preserve">CL:0002573</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retinal pigment epithelial cell</w:t>
                  </w:r>
                </w:p>
              </w:tc>
              <w:tc>
                <w:tcPr/>
                <w:p>
                  <w:pPr>
                    <w:pStyle w:val="Compact"/>
                    <w:jc w:val="left"/>
                    <w:jc w:val="center"/>
                  </w:pPr>
                  <w:r>
                    <w:t xml:space="preserve">CL:0002586</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visceromotor neuron</w:t>
                  </w:r>
                </w:p>
              </w:tc>
              <w:tc>
                <w:tcPr/>
                <w:p>
                  <w:pPr>
                    <w:pStyle w:val="Compact"/>
                    <w:jc w:val="left"/>
                    <w:jc w:val="center"/>
                  </w:pPr>
                  <w:r>
                    <w:t xml:space="preserve">CL:0005025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sympathetic neuron</w:t>
                  </w:r>
                </w:p>
              </w:tc>
              <w:tc>
                <w:tcPr/>
                <w:p>
                  <w:pPr>
                    <w:pStyle w:val="Compact"/>
                    <w:jc w:val="left"/>
                    <w:jc w:val="center"/>
                  </w:pPr>
                  <w:r>
                    <w:t xml:space="preserve">CL:0011103</w:t>
                  </w:r>
                </w:p>
              </w:tc>
            </w:tr>
            <w:tr>
              <w:tc>
                <w:tcPr/>
                <w:p>
                  <w:pPr>
                    <w:pStyle w:val="Compact"/>
                    <w:jc w:val="left"/>
                    <w:jc w:val="center"/>
                  </w:pPr>
                  <w:r>
                    <w:t xml:space="preserve">Abnormality of the respiratory system</w:t>
                  </w:r>
                </w:p>
              </w:tc>
              <w:tc>
                <w:tcPr/>
                <w:p>
                  <w:pPr>
                    <w:pStyle w:val="Compact"/>
                    <w:jc w:val="left"/>
                    <w:jc w:val="center"/>
                  </w:pPr>
                  <w:r>
                    <w:t xml:space="preserve">respiratory epithelial cell / epithelial cell of lung</w:t>
                  </w:r>
                </w:p>
              </w:tc>
              <w:tc>
                <w:tcPr/>
                <w:p>
                  <w:pPr>
                    <w:pStyle w:val="Compact"/>
                    <w:jc w:val="left"/>
                    <w:jc w:val="center"/>
                  </w:pPr>
                  <w:r>
                    <w:t xml:space="preserve">type II pneumocyte</w:t>
                  </w:r>
                </w:p>
              </w:tc>
              <w:tc>
                <w:tcPr/>
                <w:p>
                  <w:pPr>
                    <w:pStyle w:val="Compact"/>
                    <w:jc w:val="left"/>
                    <w:jc w:val="center"/>
                  </w:pPr>
                  <w:r>
                    <w:t xml:space="preserve">CL:0002063</w:t>
                  </w:r>
                </w:p>
              </w:tc>
            </w:tr>
            <w:tr>
              <w:tc>
                <w:tcPr/>
                <w:p>
                  <w:pPr>
                    <w:pStyle w:val="Compact"/>
                    <w:jc w:val="left"/>
                    <w:jc w:val="center"/>
                  </w:pPr>
                  <w:r>
                    <w:t xml:space="preserve">Abnormality of the respiratory system</w:t>
                  </w:r>
                </w:p>
              </w:tc>
              <w:tc>
                <w:tcPr/>
                <w:p>
                  <w:pPr>
                    <w:pStyle w:val="Compact"/>
                    <w:jc w:val="left"/>
                    <w:jc w:val="center"/>
                  </w:pPr>
                  <w:r>
                    <w:t xml:space="preserve">respiratory epithelial cell / epithelial cell of lung</w:t>
                  </w:r>
                </w:p>
              </w:tc>
              <w:tc>
                <w:tcPr/>
                <w:p>
                  <w:pPr>
                    <w:pStyle w:val="Compact"/>
                    <w:jc w:val="left"/>
                    <w:jc w:val="center"/>
                  </w:pPr>
                  <w:r>
                    <w:t xml:space="preserve">epithelial cell of lower respiratory tract</w:t>
                  </w:r>
                </w:p>
              </w:tc>
              <w:tc>
                <w:tcPr/>
                <w:p>
                  <w:pPr>
                    <w:pStyle w:val="Compact"/>
                    <w:jc w:val="left"/>
                    <w:jc w:val="center"/>
                  </w:pPr>
                  <w:r>
                    <w:t xml:space="preserve">CL:0002632</w:t>
                  </w:r>
                </w:p>
              </w:tc>
            </w:tr>
          </w:tbl>
          <w:bookmarkEnd w:id="361"/>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2" w:name="tbl-ontology_permtests"/>
          <w:p>
            <w:pPr>
              <w:jc w:val="center"/>
            </w:pPr>
            <w:pPr>
              <w:jc w:val="left"/>
              <w:spacing w:before="200"/>
              <w:pStyle w:val="ImageCaption"/>
            </w:pPr>
            <w:r>
              <w:t xml:space="preserve">Table S7:</w:t>
            </w:r>
            <w:r>
              <w:t xml:space="preserve"> </w:t>
            </w:r>
            <w:r>
              <w:rPr>
                <w:b/>
                <w:bCs/>
              </w:rPr>
              <w:t xml:space="preserve">Results of permutation tests evaluating relationships between phenotype information content and gene number, cell type number, and effect size.</w:t>
            </w:r>
            <w:r>
              <w:t xml:space="preserve"> </w:t>
            </w:r>
            <w:r>
              <w:t xml:space="preserve">Correlations between phenotypes and cell types may not be independent due to the hierarchical nature of the HPO.</w:t>
            </w:r>
            <w:r>
              <w:t xml:space="preserve"> </w:t>
            </w:r>
            <w:r>
              <w:t xml:space="preserve">To account for this, for each pair of variables we computed the observed correlation (</w:t>
            </w:r>
            <w:r>
              <w:rPr>
                <w:i/>
                <w:iCs/>
              </w:rPr>
              <w:t xml:space="preserve">observed cor</w:t>
            </w:r>
            <w:r>
              <w:t xml:space="preserve">), the mean null correlation (</w:t>
            </w:r>
            <w:r>
              <w:rPr>
                <w:i/>
                <w:iCs/>
              </w:rPr>
              <w:t xml:space="preserve">null cor</w:t>
            </w:r>
            <w:r>
              <w:t xml:space="preserve">) from 1000 permutations, and the 95% confidence interval of the null correlations (</w:t>
            </w:r>
            <w:r>
              <w:rPr>
                <w:i/>
                <w:iCs/>
              </w:rPr>
              <w:t xml:space="preserve">null CI [lower, upper]</w:t>
            </w:r>
            <w:r>
              <w:t xml:space="preserve">).</w:t>
            </w:r>
          </w:p>
          <w:tbl>
            <w:tblPr>
              <w:tblStyle w:val="Table"/>
              <w:tblW w:type="pct" w:w="5000"/>
              <w:tblLayout w:type="fixed"/>
              <w:tblLook w:firstRow="1" w:lastRow="0" w:firstColumn="0" w:lastColumn="0" w:noHBand="0" w:noVBand="0" w:val="0020"/>
            </w:tblPr>
            <w:tblGrid>
              <w:gridCol w:w="1107"/>
              <w:gridCol w:w="936"/>
              <w:gridCol w:w="936"/>
              <w:gridCol w:w="1107"/>
              <w:gridCol w:w="1021"/>
              <w:gridCol w:w="851"/>
              <w:gridCol w:w="1958"/>
            </w:tblGrid>
            <w:tr>
              <w:trPr>
                <w:tblHeader w:val="on"/>
              </w:trPr>
              <w:tc>
                <w:tcPr/>
                <w:p>
                  <w:pPr>
                    <w:pStyle w:val="Compact"/>
                    <w:jc w:val="left"/>
                    <w:jc w:val="center"/>
                  </w:pPr>
                  <w:r>
                    <w:t xml:space="preserve">X</w:t>
                  </w:r>
                </w:p>
              </w:tc>
              <w:tc>
                <w:tcPr/>
                <w:p>
                  <w:pPr>
                    <w:pStyle w:val="Compact"/>
                    <w:jc w:val="left"/>
                    <w:jc w:val="center"/>
                  </w:pPr>
                  <w:r>
                    <w:t xml:space="preserve">y</w:t>
                  </w:r>
                </w:p>
              </w:tc>
              <w:tc>
                <w:tcPr/>
                <w:p>
                  <w:pPr>
                    <w:pStyle w:val="Compact"/>
                    <w:jc w:val="left"/>
                    <w:jc w:val="center"/>
                  </w:pPr>
                  <w:r>
                    <w:t xml:space="preserve">observed p</w:t>
                  </w:r>
                </w:p>
              </w:tc>
              <w:tc>
                <w:tcPr/>
                <w:p>
                  <w:pPr>
                    <w:pStyle w:val="Compact"/>
                    <w:jc w:val="right"/>
                    <w:jc w:val="center"/>
                  </w:pPr>
                  <w:r>
                    <w:t xml:space="preserve">observed cor</w:t>
                  </w:r>
                </w:p>
              </w:tc>
              <w:tc>
                <w:tcPr/>
                <w:p>
                  <w:pPr>
                    <w:pStyle w:val="Compact"/>
                    <w:jc w:val="left"/>
                    <w:jc w:val="center"/>
                  </w:pPr>
                  <w:r>
                    <w:t xml:space="preserve">empirical p</w:t>
                  </w:r>
                </w:p>
              </w:tc>
              <w:tc>
                <w:tcPr/>
                <w:p>
                  <w:pPr>
                    <w:pStyle w:val="Compact"/>
                    <w:jc w:val="left"/>
                    <w:jc w:val="center"/>
                  </w:pPr>
                  <w:r>
                    <w:t xml:space="preserve">null cor</w:t>
                  </w:r>
                </w:p>
              </w:tc>
              <w:tc>
                <w:tcPr/>
                <w:p>
                  <w:pPr>
                    <w:pStyle w:val="Compact"/>
                    <w:jc w:val="left"/>
                    <w:jc w:val="center"/>
                  </w:pPr>
                  <w:r>
                    <w:t xml:space="preserve">null CI [lower, upper]</w:t>
                  </w:r>
                </w:p>
              </w:tc>
            </w:tr>
            <w:tr>
              <w:tc>
                <w:tcPr/>
                <w:p>
                  <w:pPr>
                    <w:pStyle w:val="Compact"/>
                    <w:jc w:val="left"/>
                    <w:jc w:val="center"/>
                  </w:pPr>
                  <w:r>
                    <w:t xml:space="preserve">info_content</w:t>
                  </w:r>
                </w:p>
              </w:tc>
              <w:tc>
                <w:tcPr/>
                <w:p>
                  <w:pPr>
                    <w:pStyle w:val="Compact"/>
                    <w:jc w:val="left"/>
                    <w:jc w:val="center"/>
                  </w:pPr>
                  <w:r>
                    <w:t xml:space="preserve">cell types</w:t>
                  </w:r>
                </w:p>
              </w:tc>
              <w:tc>
                <w:tcPr/>
                <w:p>
                  <w:pPr>
                    <w:pStyle w:val="Compact"/>
                    <w:jc w:val="left"/>
                    <w:jc w:val="center"/>
                  </w:pPr>
                  <w:r>
                    <w:t xml:space="preserve">6.91e-62</w:t>
                  </w:r>
                </w:p>
              </w:tc>
              <w:tc>
                <w:tcPr/>
                <w:p>
                  <w:pPr>
                    <w:pStyle w:val="Compact"/>
                    <w:jc w:val="right"/>
                    <w:jc w:val="center"/>
                  </w:pPr>
                  <w:r>
                    <w:t xml:space="preserve">-0.61</w:t>
                  </w:r>
                </w:p>
              </w:tc>
              <w:tc>
                <w:tcPr/>
                <w:p>
                  <w:pPr>
                    <w:pStyle w:val="Compact"/>
                    <w:jc w:val="left"/>
                    <w:jc w:val="center"/>
                  </w:pPr>
                  <w:r>
                    <w:t xml:space="preserve">2.23e-308</w:t>
                  </w:r>
                </w:p>
              </w:tc>
              <w:tc>
                <w:tcPr/>
                <w:p>
                  <w:pPr>
                    <w:pStyle w:val="Compact"/>
                    <w:jc w:val="left"/>
                    <w:jc w:val="center"/>
                  </w:pPr>
                  <w:r>
                    <w:t xml:space="preserve">1.99e-03</w:t>
                  </w:r>
                </w:p>
              </w:tc>
              <w:tc>
                <w:tcPr/>
                <w:p>
                  <w:pPr>
                    <w:pStyle w:val="Compact"/>
                    <w:jc w:val="left"/>
                    <w:jc w:val="center"/>
                  </w:pPr>
                  <w:r>
                    <w:t xml:space="preserve">[-0.07, 0.08]</w:t>
                  </w:r>
                </w:p>
              </w:tc>
            </w:tr>
            <w:tr>
              <w:tc>
                <w:tcPr/>
                <w:p>
                  <w:pPr>
                    <w:pStyle w:val="Compact"/>
                    <w:jc w:val="left"/>
                    <w:jc w:val="center"/>
                  </w:pPr>
                  <w:r>
                    <w:t xml:space="preserve">info_content</w:t>
                  </w:r>
                </w:p>
              </w:tc>
              <w:tc>
                <w:tcPr/>
                <w:p>
                  <w:pPr>
                    <w:pStyle w:val="Compact"/>
                    <w:jc w:val="left"/>
                    <w:jc w:val="center"/>
                  </w:pPr>
                  <w:r>
                    <w:t xml:space="preserve">estimate</w:t>
                  </w:r>
                </w:p>
              </w:tc>
              <w:tc>
                <w:tcPr/>
                <w:p>
                  <w:pPr>
                    <w:pStyle w:val="Compact"/>
                    <w:jc w:val="left"/>
                    <w:jc w:val="center"/>
                  </w:pPr>
                  <w:r>
                    <w:t xml:space="preserve">2.23e-308</w:t>
                  </w:r>
                </w:p>
              </w:tc>
              <w:tc>
                <w:tcPr/>
                <w:p>
                  <w:pPr>
                    <w:pStyle w:val="Compact"/>
                    <w:jc w:val="right"/>
                    <w:jc w:val="center"/>
                  </w:pPr>
                  <w:r>
                    <w:t xml:space="preserve">0.21</w:t>
                  </w:r>
                </w:p>
              </w:tc>
              <w:tc>
                <w:tcPr/>
                <w:p>
                  <w:pPr>
                    <w:pStyle w:val="Compact"/>
                    <w:jc w:val="left"/>
                    <w:jc w:val="center"/>
                  </w:pPr>
                  <w:r>
                    <w:t xml:space="preserve">2.23e-308</w:t>
                  </w:r>
                </w:p>
              </w:tc>
              <w:tc>
                <w:tcPr/>
                <w:p>
                  <w:pPr>
                    <w:pStyle w:val="Compact"/>
                    <w:jc w:val="left"/>
                    <w:jc w:val="center"/>
                  </w:pPr>
                  <w:r>
                    <w:t xml:space="preserve">1.18e-04</w:t>
                  </w:r>
                </w:p>
              </w:tc>
              <w:tc>
                <w:tcPr/>
                <w:p>
                  <w:pPr>
                    <w:pStyle w:val="Compact"/>
                    <w:jc w:val="left"/>
                    <w:jc w:val="center"/>
                  </w:pPr>
                  <w:r>
                    <w:t xml:space="preserve">[-0.01, 0.01]</w:t>
                  </w:r>
                </w:p>
              </w:tc>
            </w:tr>
            <w:tr>
              <w:tc>
                <w:tcPr/>
                <w:p>
                  <w:pPr>
                    <w:pStyle w:val="Compact"/>
                    <w:jc w:val="left"/>
                    <w:jc w:val="center"/>
                  </w:pPr>
                  <w:r>
                    <w:t xml:space="preserve">info_content</w:t>
                  </w:r>
                </w:p>
              </w:tc>
              <w:tc>
                <w:tcPr/>
                <w:p>
                  <w:pPr>
                    <w:pStyle w:val="Compact"/>
                    <w:jc w:val="left"/>
                    <w:jc w:val="center"/>
                  </w:pPr>
                  <w:r>
                    <w:t xml:space="preserve">genes</w:t>
                  </w:r>
                </w:p>
              </w:tc>
              <w:tc>
                <w:tcPr/>
                <w:p>
                  <w:pPr>
                    <w:pStyle w:val="Compact"/>
                    <w:jc w:val="left"/>
                    <w:jc w:val="center"/>
                  </w:pPr>
                  <w:r>
                    <w:t xml:space="preserve">2.23e-308</w:t>
                  </w:r>
                </w:p>
              </w:tc>
              <w:tc>
                <w:tcPr/>
                <w:p>
                  <w:pPr>
                    <w:pStyle w:val="Compact"/>
                    <w:jc w:val="right"/>
                    <w:jc w:val="center"/>
                  </w:pPr>
                  <w:r>
                    <w:t xml:space="preserve">-0.58</w:t>
                  </w:r>
                </w:p>
              </w:tc>
              <w:tc>
                <w:tcPr/>
                <w:p>
                  <w:pPr>
                    <w:pStyle w:val="Compact"/>
                    <w:jc w:val="left"/>
                    <w:jc w:val="center"/>
                  </w:pPr>
                  <w:r>
                    <w:t xml:space="preserve">2.23e-308</w:t>
                  </w:r>
                </w:p>
              </w:tc>
              <w:tc>
                <w:tcPr/>
                <w:p>
                  <w:pPr>
                    <w:pStyle w:val="Compact"/>
                    <w:jc w:val="left"/>
                    <w:jc w:val="center"/>
                  </w:pPr>
                  <w:r>
                    <w:t xml:space="preserve">-1.67e-06</w:t>
                  </w:r>
                </w:p>
              </w:tc>
              <w:tc>
                <w:tcPr/>
                <w:p>
                  <w:pPr>
                    <w:pStyle w:val="Compact"/>
                    <w:jc w:val="left"/>
                    <w:jc w:val="center"/>
                  </w:pPr>
                  <w:r>
                    <w:t xml:space="preserve">[0, 0]</w:t>
                  </w:r>
                </w:p>
              </w:tc>
            </w:tr>
          </w:tbl>
          <w:bookmarkEnd w:id="362"/>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3" w:name="tbl-ctd_validation_permtests"/>
          <w:p>
            <w:pPr>
              <w:jc w:val="center"/>
            </w:pPr>
            <w:pPr>
              <w:jc w:val="left"/>
              <w:spacing w:before="200"/>
              <w:pStyle w:val="ImageCaption"/>
            </w:pPr>
            <w:r>
              <w:t xml:space="preserve">Table S8:</w:t>
            </w:r>
            <w:r>
              <w:t xml:space="preserve"> </w:t>
            </w:r>
            <w:r>
              <w:rPr>
                <w:b/>
                <w:bCs/>
              </w:rPr>
              <w:t xml:space="preserve">Results of permutation tests evaluating phenotype-cell type association consistency across cell type datasets (Human Cell Landscape vs. Descartes Human; i.e. inter-CTD) and across developmental stages (foetal vs. Adult; i.e. intra-CTD).</w:t>
            </w:r>
            <w:r>
              <w:t xml:space="preserve"> </w:t>
            </w:r>
            <w:r>
              <w:t xml:space="preserve">To account for the non-independence between phenotypes, we computed empirical p-values for each Pearson correlation comparison over 1,000 permutations.</w:t>
            </w:r>
            <w:r>
              <w:t xml:space="preserve"> </w:t>
            </w:r>
            <w:r>
              <w:t xml:space="preserve">Here, we report observed correlation (</w:t>
            </w:r>
            <w:r>
              <w:rPr>
                <w:i/>
                <w:iCs/>
              </w:rPr>
              <w:t xml:space="preserve">observed cor</w:t>
            </w:r>
            <w:r>
              <w:t xml:space="preserve">), the mean null correlation (</w:t>
            </w:r>
            <w:r>
              <w:rPr>
                <w:i/>
                <w:iCs/>
              </w:rPr>
              <w:t xml:space="preserve">null cor</w:t>
            </w:r>
            <w:r>
              <w:t xml:space="preserve">), 95% confidence interval of the null correlations (</w:t>
            </w:r>
            <w:r>
              <w:rPr>
                <w:i/>
                <w:iCs/>
              </w:rPr>
              <w:t xml:space="preserve">null CI [lower, upper]</w:t>
            </w:r>
            <w:r>
              <w:t xml:space="preserve">).</w:t>
            </w:r>
            <w:r>
              <w:t xml:space="preserve"> </w:t>
            </w:r>
            <w:r>
              <w:t xml:space="preserve">“sig.”</w:t>
            </w:r>
            <w:r>
              <w:t xml:space="preserve"> </w:t>
            </w:r>
            <w:r>
              <w:t xml:space="preserve">indicates that only association tests with FDR&lt;0.05 were included in the correlation.</w:t>
            </w:r>
          </w:p>
          <w:tbl>
            <w:tblPr>
              <w:tblStyle w:val="Table"/>
              <w:tblW w:type="pct" w:w="5000"/>
              <w:tblLayout w:type="fixed"/>
              <w:tblLook w:firstRow="1" w:lastRow="0" w:firstColumn="0" w:lastColumn="0" w:noHBand="0" w:noVBand="0" w:val="0020"/>
            </w:tblPr>
            <w:tblGrid>
              <w:gridCol w:w="2250"/>
              <w:gridCol w:w="917"/>
              <w:gridCol w:w="1083"/>
              <w:gridCol w:w="1000"/>
              <w:gridCol w:w="750"/>
              <w:gridCol w:w="1917"/>
            </w:tblGrid>
            <w:tr>
              <w:trPr>
                <w:tblHeader w:val="on"/>
              </w:trPr>
              <w:tc>
                <w:tcPr/>
                <w:p>
                  <w:pPr>
                    <w:pStyle w:val="Compact"/>
                    <w:jc w:val="left"/>
                    <w:jc w:val="center"/>
                  </w:pPr>
                  <w:r>
                    <w:t xml:space="preserve">comparison</w:t>
                  </w:r>
                </w:p>
              </w:tc>
              <w:tc>
                <w:tcPr/>
                <w:p>
                  <w:pPr>
                    <w:pStyle w:val="Compact"/>
                    <w:jc w:val="left"/>
                    <w:jc w:val="center"/>
                  </w:pPr>
                  <w:r>
                    <w:t xml:space="preserve">observed p</w:t>
                  </w:r>
                </w:p>
              </w:tc>
              <w:tc>
                <w:tcPr/>
                <w:p>
                  <w:pPr>
                    <w:pStyle w:val="Compact"/>
                    <w:jc w:val="right"/>
                    <w:jc w:val="center"/>
                  </w:pPr>
                  <w:r>
                    <w:t xml:space="preserve">observed cor</w:t>
                  </w:r>
                </w:p>
              </w:tc>
              <w:tc>
                <w:tcPr/>
                <w:p>
                  <w:pPr>
                    <w:pStyle w:val="Compact"/>
                    <w:jc w:val="left"/>
                    <w:jc w:val="center"/>
                  </w:pPr>
                  <w:r>
                    <w:t xml:space="preserve">empirical p</w:t>
                  </w:r>
                </w:p>
              </w:tc>
              <w:tc>
                <w:tcPr/>
                <w:p>
                  <w:pPr>
                    <w:pStyle w:val="Compact"/>
                    <w:jc w:val="left"/>
                    <w:jc w:val="center"/>
                  </w:pPr>
                  <w:r>
                    <w:t xml:space="preserve">null cor</w:t>
                  </w:r>
                </w:p>
              </w:tc>
              <w:tc>
                <w:tcPr/>
                <w:p>
                  <w:pPr>
                    <w:pStyle w:val="Compact"/>
                    <w:jc w:val="left"/>
                    <w:jc w:val="center"/>
                  </w:pPr>
                  <w:r>
                    <w:t xml:space="preserve">null CI [lower, upper]</w:t>
                  </w:r>
                </w:p>
              </w:tc>
            </w:tr>
            <w:tr>
              <w:tc>
                <w:tcPr/>
                <w:p>
                  <w:pPr>
                    <w:pStyle w:val="Compact"/>
                    <w:jc w:val="left"/>
                    <w:jc w:val="center"/>
                  </w:pPr>
                  <w:r>
                    <w:t xml:space="preserve">Inter-CTD: estimate (all)</w:t>
                  </w:r>
                </w:p>
              </w:tc>
              <w:tc>
                <w:tcPr/>
                <w:p>
                  <w:pPr>
                    <w:pStyle w:val="Compact"/>
                    <w:jc w:val="left"/>
                    <w:jc w:val="center"/>
                  </w:pPr>
                  <w:r>
                    <w:t xml:space="preserve">0e+00</w:t>
                  </w:r>
                </w:p>
              </w:tc>
              <w:tc>
                <w:tcPr/>
                <w:p>
                  <w:pPr>
                    <w:pStyle w:val="Compact"/>
                    <w:jc w:val="right"/>
                    <w:jc w:val="center"/>
                  </w:pPr>
                  <w:r>
                    <w:t xml:space="preserve">0.58</w:t>
                  </w:r>
                </w:p>
              </w:tc>
              <w:tc>
                <w:tcPr/>
                <w:p>
                  <w:pPr>
                    <w:pStyle w:val="Compact"/>
                    <w:jc w:val="left"/>
                    <w:jc w:val="center"/>
                  </w:pPr>
                  <w:r>
                    <w:t xml:space="preserve">2e-308</w:t>
                  </w:r>
                </w:p>
              </w:tc>
              <w:tc>
                <w:tcPr/>
                <w:p>
                  <w:pPr>
                    <w:pStyle w:val="Compact"/>
                    <w:jc w:val="left"/>
                    <w:jc w:val="center"/>
                  </w:pPr>
                  <w:r>
                    <w:t xml:space="preserve">2e-05</w:t>
                  </w:r>
                </w:p>
              </w:tc>
              <w:tc>
                <w:tcPr/>
                <w:p>
                  <w:pPr>
                    <w:pStyle w:val="Compact"/>
                    <w:jc w:val="left"/>
                    <w:jc w:val="center"/>
                  </w:pPr>
                  <w:r>
                    <w:t xml:space="preserve">[-0.01, 0]</w:t>
                  </w:r>
                </w:p>
              </w:tc>
            </w:tr>
            <w:tr>
              <w:tc>
                <w:tcPr/>
                <w:p>
                  <w:pPr>
                    <w:pStyle w:val="Compact"/>
                    <w:jc w:val="left"/>
                    <w:jc w:val="center"/>
                  </w:pPr>
                  <w:r>
                    <w:t xml:space="preserve">Inter-CTD: estimate (sig.)</w:t>
                  </w:r>
                </w:p>
              </w:tc>
              <w:tc>
                <w:tcPr/>
                <w:p>
                  <w:pPr>
                    <w:pStyle w:val="Compact"/>
                    <w:jc w:val="left"/>
                    <w:jc w:val="center"/>
                  </w:pPr>
                  <w:r>
                    <w:t xml:space="preserve">1e-95</w:t>
                  </w:r>
                </w:p>
              </w:tc>
              <w:tc>
                <w:tcPr/>
                <w:p>
                  <w:pPr>
                    <w:pStyle w:val="Compact"/>
                    <w:jc w:val="right"/>
                    <w:jc w:val="center"/>
                  </w:pPr>
                  <w:r>
                    <w:t xml:space="preserve">0.73</w:t>
                  </w:r>
                </w:p>
              </w:tc>
              <w:tc>
                <w:tcPr/>
                <w:p>
                  <w:pPr>
                    <w:pStyle w:val="Compact"/>
                    <w:jc w:val="left"/>
                    <w:jc w:val="center"/>
                  </w:pPr>
                  <w:r>
                    <w:t xml:space="preserve">2e-308</w:t>
                  </w:r>
                </w:p>
              </w:tc>
              <w:tc>
                <w:tcPr/>
                <w:p>
                  <w:pPr>
                    <w:pStyle w:val="Compact"/>
                    <w:jc w:val="left"/>
                    <w:jc w:val="center"/>
                  </w:pPr>
                  <w:r>
                    <w:t xml:space="preserve">-7e-04</w:t>
                  </w:r>
                </w:p>
              </w:tc>
              <w:tc>
                <w:tcPr/>
                <w:p>
                  <w:pPr>
                    <w:pStyle w:val="Compact"/>
                    <w:jc w:val="left"/>
                    <w:jc w:val="center"/>
                  </w:pPr>
                  <w:r>
                    <w:t xml:space="preserve">[-0.08, 0.09]</w:t>
                  </w:r>
                </w:p>
              </w:tc>
            </w:tr>
            <w:tr>
              <w:tc>
                <w:tcPr/>
                <w:p>
                  <w:pPr>
                    <w:pStyle w:val="Compact"/>
                    <w:jc w:val="left"/>
                    <w:jc w:val="center"/>
                  </w:pPr>
                  <w:r>
                    <w:t xml:space="preserve">Intra-CTD: estimate (all)</w:t>
                  </w:r>
                </w:p>
              </w:tc>
              <w:tc>
                <w:tcPr/>
                <w:p>
                  <w:pPr>
                    <w:pStyle w:val="Compact"/>
                    <w:jc w:val="left"/>
                    <w:jc w:val="center"/>
                  </w:pPr>
                  <w:r>
                    <w:t xml:space="preserve">0e+00</w:t>
                  </w:r>
                </w:p>
              </w:tc>
              <w:tc>
                <w:tcPr/>
                <w:p>
                  <w:pPr>
                    <w:pStyle w:val="Compact"/>
                    <w:jc w:val="right"/>
                    <w:jc w:val="center"/>
                  </w:pPr>
                  <w:r>
                    <w:t xml:space="preserve">0.44</w:t>
                  </w:r>
                </w:p>
              </w:tc>
              <w:tc>
                <w:tcPr/>
                <w:p>
                  <w:pPr>
                    <w:pStyle w:val="Compact"/>
                    <w:jc w:val="left"/>
                    <w:jc w:val="center"/>
                  </w:pPr>
                  <w:r>
                    <w:t xml:space="preserve">2e-308</w:t>
                  </w:r>
                </w:p>
              </w:tc>
              <w:tc>
                <w:tcPr/>
                <w:p>
                  <w:pPr>
                    <w:pStyle w:val="Compact"/>
                    <w:jc w:val="left"/>
                    <w:jc w:val="center"/>
                  </w:pPr>
                  <w:r>
                    <w:t xml:space="preserve">3e-05</w:t>
                  </w:r>
                </w:p>
              </w:tc>
              <w:tc>
                <w:tcPr/>
                <w:p>
                  <w:pPr>
                    <w:pStyle w:val="Compact"/>
                    <w:jc w:val="left"/>
                    <w:jc w:val="center"/>
                  </w:pPr>
                  <w:r>
                    <w:t xml:space="preserve">[0, 0]</w:t>
                  </w:r>
                </w:p>
              </w:tc>
            </w:tr>
            <w:tr>
              <w:tc>
                <w:tcPr/>
                <w:p>
                  <w:pPr>
                    <w:pStyle w:val="Compact"/>
                    <w:jc w:val="left"/>
                    <w:jc w:val="center"/>
                  </w:pPr>
                  <w:r>
                    <w:t xml:space="preserve">Intra-CTD: estimate (sig.)</w:t>
                  </w:r>
                </w:p>
              </w:tc>
              <w:tc>
                <w:tcPr/>
                <w:p>
                  <w:pPr>
                    <w:pStyle w:val="Compact"/>
                    <w:jc w:val="left"/>
                    <w:jc w:val="center"/>
                  </w:pPr>
                  <w:r>
                    <w:t xml:space="preserve">4e-92</w:t>
                  </w:r>
                </w:p>
              </w:tc>
              <w:tc>
                <w:tcPr/>
                <w:p>
                  <w:pPr>
                    <w:pStyle w:val="Compact"/>
                    <w:jc w:val="right"/>
                    <w:jc w:val="center"/>
                  </w:pPr>
                  <w:r>
                    <w:t xml:space="preserve">0.40</w:t>
                  </w:r>
                </w:p>
              </w:tc>
              <w:tc>
                <w:tcPr/>
                <w:p>
                  <w:pPr>
                    <w:pStyle w:val="Compact"/>
                    <w:jc w:val="left"/>
                    <w:jc w:val="center"/>
                  </w:pPr>
                  <w:r>
                    <w:t xml:space="preserve">2e-308</w:t>
                  </w:r>
                </w:p>
              </w:tc>
              <w:tc>
                <w:tcPr/>
                <w:p>
                  <w:pPr>
                    <w:pStyle w:val="Compact"/>
                    <w:jc w:val="left"/>
                    <w:jc w:val="center"/>
                  </w:pPr>
                  <w:r>
                    <w:t xml:space="preserve">4e-04</w:t>
                  </w:r>
                </w:p>
              </w:tc>
              <w:tc>
                <w:tcPr/>
                <w:p>
                  <w:pPr>
                    <w:pStyle w:val="Compact"/>
                    <w:jc w:val="left"/>
                    <w:jc w:val="center"/>
                  </w:pPr>
                  <w:r>
                    <w:t xml:space="preserve">[-0.04, 0.04]</w:t>
                  </w:r>
                </w:p>
              </w:tc>
            </w:tr>
          </w:tbl>
          <w:bookmarkEnd w:id="363"/>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4" w:name="tbl-hpo_enrich"/>
          <w:p>
            <w:pPr>
              <w:jc w:val="center"/>
            </w:pPr>
            <w:pPr>
              <w:jc w:val="left"/>
              <w:spacing w:before="200"/>
              <w:pStyle w:val="ImageCaption"/>
            </w:pPr>
            <w:r>
              <w:t xml:space="preserve">Table S9:</w:t>
            </w:r>
            <w:r>
              <w:t xml:space="preserve"> </w:t>
            </w:r>
            <w:r>
              <w:rPr>
                <w:b/>
                <w:bCs/>
              </w:rPr>
              <w:t xml:space="preserve">Some HPO phenotype categories are more biased towards foetal- or adult- versions of the same cell type.</w:t>
            </w:r>
            <w:r>
              <w:t xml:space="preserve"> </w:t>
            </w:r>
            <w:r>
              <w:t xml:space="preserve">We took the top 50 phenotypes with the greatest bias towards foetal-cell type associations (</w:t>
            </w:r>
            <w:r>
              <w:t xml:space="preserve">“Foetal-biased”</w:t>
            </w:r>
            <w:r>
              <w:t xml:space="preserve">) and the greatest bias towards adult-cell type associations (</w:t>
            </w:r>
            <w:r>
              <w:t xml:space="preserve">“Adult-biased”</w:t>
            </w:r>
            <w:r>
              <w:t xml:space="preserve">) and fed each list of terms into ontological enrichment tests to get a summary of the representative HPO branches for each group.</w:t>
            </w:r>
            <w:r>
              <w:t xml:space="preserve"> </w:t>
            </w:r>
            <w:r>
              <w:t xml:space="preserve">The phenotypes most biased towards associations with only the foetal versions of cell type and those biased towards the adult versions of cell types are shown.</w:t>
            </w:r>
            <w:r>
              <w:t xml:space="preserve"> </w:t>
            </w:r>
            <w:r>
              <w:t xml:space="preserve">“FDR”</w:t>
            </w:r>
            <w:r>
              <w:t xml:space="preserve"> </w:t>
            </w:r>
            <w:r>
              <w:t xml:space="preserve">is the False Discovery Rate-adjusted p-value from the enrichment test,</w:t>
            </w:r>
            <w:r>
              <w:t xml:space="preserve"> </w:t>
            </w:r>
            <w:r>
              <w:t xml:space="preserve">“log2-fold enrichment”</w:t>
            </w:r>
            <w:r>
              <w:t xml:space="preserve"> </w:t>
            </w:r>
            <w:r>
              <w:t xml:space="preserve">is the log2 fold-change from the enrichment test, and</w:t>
            </w:r>
            <w:r>
              <w:t xml:space="preserve"> </w:t>
            </w:r>
            <w:r>
              <w:t xml:space="preserve">“depth”</w:t>
            </w:r>
            <w:r>
              <w:t xml:space="preserve"> </w:t>
            </w:r>
            <w:r>
              <w:t xml:space="preserve">is the depth of the enriched HPO term in the ontology.</w:t>
            </w:r>
          </w:p>
          <w:tbl>
            <w:tblPr>
              <w:tblStyle w:val="Table"/>
              <w:tblW w:type="pct" w:w="5000"/>
              <w:tblLayout w:type="fixed"/>
              <w:tblLook w:firstRow="1" w:lastRow="0" w:firstColumn="0" w:lastColumn="0" w:noHBand="0" w:noVBand="0" w:val="0020"/>
            </w:tblPr>
            <w:tblGrid>
              <w:gridCol w:w="1036"/>
              <w:gridCol w:w="814"/>
              <w:gridCol w:w="3404"/>
              <w:gridCol w:w="666"/>
              <w:gridCol w:w="1554"/>
              <w:gridCol w:w="444"/>
            </w:tblGrid>
            <w:tr>
              <w:trPr>
                <w:tblHeader w:val="on"/>
              </w:trPr>
              <w:tc>
                <w:tcPr/>
                <w:p>
                  <w:pPr>
                    <w:pStyle w:val="Compact"/>
                    <w:jc w:val="left"/>
                    <w:jc w:val="center"/>
                  </w:pPr>
                  <w:r>
                    <w:t xml:space="preserve">Group</w:t>
                  </w:r>
                </w:p>
              </w:tc>
              <w:tc>
                <w:tcPr/>
                <w:p>
                  <w:pPr>
                    <w:pStyle w:val="Compact"/>
                    <w:jc w:val="left"/>
                    <w:jc w:val="center"/>
                  </w:pPr>
                  <w:r>
                    <w:t xml:space="preserve">term</w:t>
                  </w:r>
                </w:p>
              </w:tc>
              <w:tc>
                <w:tcPr/>
                <w:p>
                  <w:pPr>
                    <w:pStyle w:val="Compact"/>
                    <w:jc w:val="left"/>
                    <w:jc w:val="center"/>
                  </w:pPr>
                  <w:r>
                    <w:t xml:space="preserve">name</w:t>
                  </w:r>
                </w:p>
              </w:tc>
              <w:tc>
                <w:tcPr/>
                <w:p>
                  <w:pPr>
                    <w:pStyle w:val="Compact"/>
                    <w:jc w:val="left"/>
                    <w:jc w:val="center"/>
                  </w:pPr>
                  <w:r>
                    <w:t xml:space="preserve">FDR</w:t>
                  </w:r>
                </w:p>
              </w:tc>
              <w:tc>
                <w:tcPr/>
                <w:p>
                  <w:pPr>
                    <w:pStyle w:val="Compact"/>
                    <w:jc w:val="right"/>
                    <w:jc w:val="center"/>
                  </w:pPr>
                  <w:r>
                    <w:t xml:space="preserve">log2-fold enrichment</w:t>
                  </w:r>
                </w:p>
              </w:tc>
              <w:tc>
                <w:tcPr/>
                <w:p>
                  <w:pPr>
                    <w:pStyle w:val="Compact"/>
                    <w:jc w:val="right"/>
                    <w:jc w:val="center"/>
                  </w:pPr>
                  <w:r>
                    <w:t xml:space="preserve">depth</w:t>
                  </w:r>
                </w:p>
              </w:tc>
            </w:tr>
            <w:tr>
              <w:tc>
                <w:tcPr/>
                <w:p>
                  <w:pPr>
                    <w:pStyle w:val="Compact"/>
                    <w:jc w:val="left"/>
                    <w:jc w:val="center"/>
                  </w:pPr>
                  <w:r>
                    <w:t xml:space="preserve">Foetal-biased</w:t>
                  </w:r>
                </w:p>
              </w:tc>
              <w:tc>
                <w:tcPr/>
                <w:p>
                  <w:pPr>
                    <w:pStyle w:val="Compact"/>
                    <w:jc w:val="left"/>
                    <w:jc w:val="center"/>
                  </w:pPr>
                  <w:r>
                    <w:t xml:space="preserve">HP:0005105</w:t>
                  </w:r>
                </w:p>
              </w:tc>
              <w:tc>
                <w:tcPr/>
                <w:p>
                  <w:pPr>
                    <w:pStyle w:val="Compact"/>
                    <w:jc w:val="left"/>
                    <w:jc w:val="center"/>
                  </w:pPr>
                  <w:r>
                    <w:t xml:space="preserve">Abnormal nasal morphology</w:t>
                  </w:r>
                </w:p>
              </w:tc>
              <w:tc>
                <w:tcPr/>
                <w:p>
                  <w:pPr>
                    <w:pStyle w:val="Compact"/>
                    <w:jc w:val="left"/>
                    <w:jc w:val="center"/>
                  </w:pPr>
                  <w:r>
                    <w:t xml:space="preserve">7.80e-06</w:t>
                  </w:r>
                </w:p>
              </w:tc>
              <w:tc>
                <w:tcPr/>
                <w:p>
                  <w:pPr>
                    <w:pStyle w:val="Compact"/>
                    <w:jc w:val="right"/>
                    <w:jc w:val="center"/>
                  </w:pPr>
                  <w:r>
                    <w:t xml:space="preserve">4.5</w:t>
                  </w:r>
                </w:p>
              </w:tc>
              <w:tc>
                <w:tcPr/>
                <w:p>
                  <w:pPr>
                    <w:pStyle w:val="Compact"/>
                    <w:jc w:val="right"/>
                    <w:jc w:val="center"/>
                  </w:pPr>
                  <w:r>
                    <w:t xml:space="preserve">6</w:t>
                  </w:r>
                </w:p>
              </w:tc>
            </w:tr>
            <w:tr>
              <w:tc>
                <w:tcPr/>
                <w:p>
                  <w:pPr>
                    <w:pStyle w:val="Compact"/>
                    <w:jc w:val="left"/>
                    <w:jc w:val="center"/>
                  </w:pPr>
                  <w:r>
                    <w:t xml:space="preserve">Foetal-biased</w:t>
                  </w:r>
                </w:p>
              </w:tc>
              <w:tc>
                <w:tcPr/>
                <w:p>
                  <w:pPr>
                    <w:pStyle w:val="Compact"/>
                    <w:jc w:val="left"/>
                    <w:jc w:val="center"/>
                  </w:pPr>
                  <w:r>
                    <w:t xml:space="preserve">HP:0010938</w:t>
                  </w:r>
                </w:p>
              </w:tc>
              <w:tc>
                <w:tcPr/>
                <w:p>
                  <w:pPr>
                    <w:pStyle w:val="Compact"/>
                    <w:jc w:val="left"/>
                    <w:jc w:val="center"/>
                  </w:pPr>
                  <w:r>
                    <w:t xml:space="preserve">Abnormal external nose morphology</w:t>
                  </w:r>
                </w:p>
              </w:tc>
              <w:tc>
                <w:tcPr/>
                <w:p>
                  <w:pPr>
                    <w:pStyle w:val="Compact"/>
                    <w:jc w:val="left"/>
                    <w:jc w:val="center"/>
                  </w:pPr>
                  <w:r>
                    <w:t xml:space="preserve">4.19e-05</w:t>
                  </w:r>
                </w:p>
              </w:tc>
              <w:tc>
                <w:tcPr/>
                <w:p>
                  <w:pPr>
                    <w:pStyle w:val="Compact"/>
                    <w:jc w:val="right"/>
                    <w:jc w:val="center"/>
                  </w:pPr>
                  <w:r>
                    <w:t xml:space="preserve">5.4</w:t>
                  </w:r>
                </w:p>
              </w:tc>
              <w:tc>
                <w:tcPr/>
                <w:p>
                  <w:pPr>
                    <w:pStyle w:val="Compact"/>
                    <w:jc w:val="right"/>
                    <w:jc w:val="center"/>
                  </w:pPr>
                  <w:r>
                    <w:t xml:space="preserve">7</w:t>
                  </w:r>
                </w:p>
              </w:tc>
            </w:tr>
            <w:tr>
              <w:tc>
                <w:tcPr/>
                <w:p>
                  <w:pPr>
                    <w:pStyle w:val="Compact"/>
                    <w:jc w:val="left"/>
                    <w:jc w:val="center"/>
                  </w:pPr>
                  <w:r>
                    <w:t xml:space="preserve">Foetal-biased</w:t>
                  </w:r>
                </w:p>
              </w:tc>
              <w:tc>
                <w:tcPr/>
                <w:p>
                  <w:pPr>
                    <w:pStyle w:val="Compact"/>
                    <w:jc w:val="left"/>
                    <w:jc w:val="center"/>
                  </w:pPr>
                  <w:r>
                    <w:t xml:space="preserve">HP:0000366</w:t>
                  </w:r>
                </w:p>
              </w:tc>
              <w:tc>
                <w:tcPr/>
                <w:p>
                  <w:pPr>
                    <w:pStyle w:val="Compact"/>
                    <w:jc w:val="left"/>
                    <w:jc w:val="center"/>
                  </w:pPr>
                  <w:r>
                    <w:t xml:space="preserve">Abnormality of the nose</w:t>
                  </w:r>
                </w:p>
              </w:tc>
              <w:tc>
                <w:tcPr/>
                <w:p>
                  <w:pPr>
                    <w:pStyle w:val="Compact"/>
                    <w:jc w:val="left"/>
                    <w:jc w:val="center"/>
                  </w:pPr>
                  <w:r>
                    <w:t xml:space="preserve">4.28e-05</w:t>
                  </w:r>
                </w:p>
              </w:tc>
              <w:tc>
                <w:tcPr/>
                <w:p>
                  <w:pPr>
                    <w:pStyle w:val="Compact"/>
                    <w:jc w:val="right"/>
                    <w:jc w:val="center"/>
                  </w:pPr>
                  <w:r>
                    <w:t xml:space="preserve">3.8</w:t>
                  </w:r>
                </w:p>
              </w:tc>
              <w:tc>
                <w:tcPr/>
                <w:p>
                  <w:pPr>
                    <w:pStyle w:val="Compact"/>
                    <w:jc w:val="right"/>
                    <w:jc w:val="center"/>
                  </w:pPr>
                  <w:r>
                    <w:t xml:space="preserve">5</w:t>
                  </w:r>
                </w:p>
              </w:tc>
            </w:tr>
            <w:tr>
              <w:tc>
                <w:tcPr/>
                <w:p>
                  <w:pPr>
                    <w:pStyle w:val="Compact"/>
                    <w:jc w:val="left"/>
                    <w:jc w:val="center"/>
                  </w:pPr>
                  <w:r>
                    <w:t xml:space="preserve">Foetal-biased</w:t>
                  </w:r>
                </w:p>
              </w:tc>
              <w:tc>
                <w:tcPr/>
                <w:p>
                  <w:pPr>
                    <w:pStyle w:val="Compact"/>
                    <w:jc w:val="left"/>
                    <w:jc w:val="center"/>
                  </w:pPr>
                  <w:r>
                    <w:t xml:space="preserve">HP:0000055</w:t>
                  </w:r>
                </w:p>
              </w:tc>
              <w:tc>
                <w:tcPr/>
                <w:p>
                  <w:pPr>
                    <w:pStyle w:val="Compact"/>
                    <w:jc w:val="left"/>
                    <w:jc w:val="center"/>
                  </w:pPr>
                  <w:r>
                    <w:t xml:space="preserve">Abnormal female external genitalia morphology</w:t>
                  </w:r>
                </w:p>
              </w:tc>
              <w:tc>
                <w:tcPr/>
                <w:p>
                  <w:pPr>
                    <w:pStyle w:val="Compact"/>
                    <w:jc w:val="left"/>
                    <w:jc w:val="center"/>
                  </w:pPr>
                  <w:r>
                    <w:t xml:space="preserve">6.32e-04</w:t>
                  </w:r>
                </w:p>
              </w:tc>
              <w:tc>
                <w:tcPr/>
                <w:p>
                  <w:pPr>
                    <w:pStyle w:val="Compact"/>
                    <w:jc w:val="right"/>
                    <w:jc w:val="center"/>
                  </w:pPr>
                  <w:r>
                    <w:t xml:space="preserve">5.2</w:t>
                  </w:r>
                </w:p>
              </w:tc>
              <w:tc>
                <w:tcPr/>
                <w:p>
                  <w:pPr>
                    <w:pStyle w:val="Compact"/>
                    <w:jc w:val="right"/>
                    <w:jc w:val="center"/>
                  </w:pPr>
                  <w:r>
                    <w:t xml:space="preserve">6</w:t>
                  </w:r>
                </w:p>
              </w:tc>
            </w:tr>
            <w:tr>
              <w:tc>
                <w:tcPr/>
                <w:p>
                  <w:pPr>
                    <w:pStyle w:val="Compact"/>
                    <w:jc w:val="left"/>
                    <w:jc w:val="center"/>
                  </w:pPr>
                  <w:r>
                    <w:t xml:space="preserve">Foetal-biased</w:t>
                  </w:r>
                </w:p>
              </w:tc>
              <w:tc>
                <w:tcPr/>
                <w:p>
                  <w:pPr>
                    <w:pStyle w:val="Compact"/>
                    <w:jc w:val="left"/>
                    <w:jc w:val="center"/>
                  </w:pPr>
                  <w:r>
                    <w:t xml:space="preserve">HP:0000271</w:t>
                  </w:r>
                </w:p>
              </w:tc>
              <w:tc>
                <w:tcPr/>
                <w:p>
                  <w:pPr>
                    <w:pStyle w:val="Compact"/>
                    <w:jc w:val="left"/>
                    <w:jc w:val="center"/>
                  </w:pPr>
                  <w:r>
                    <w:t xml:space="preserve">Abnormality of the face</w:t>
                  </w:r>
                </w:p>
              </w:tc>
              <w:tc>
                <w:tcPr/>
                <w:p>
                  <w:pPr>
                    <w:pStyle w:val="Compact"/>
                    <w:jc w:val="left"/>
                    <w:jc w:val="center"/>
                  </w:pPr>
                  <w:r>
                    <w:t xml:space="preserve">1.01e-03</w:t>
                  </w:r>
                </w:p>
              </w:tc>
              <w:tc>
                <w:tcPr/>
                <w:p>
                  <w:pPr>
                    <w:pStyle w:val="Compact"/>
                    <w:jc w:val="right"/>
                    <w:jc w:val="center"/>
                  </w:pPr>
                  <w:r>
                    <w:t xml:space="preserve">1.9</w:t>
                  </w:r>
                </w:p>
              </w:tc>
              <w:tc>
                <w:tcPr/>
                <w:p>
                  <w:pPr>
                    <w:pStyle w:val="Compact"/>
                    <w:jc w:val="right"/>
                    <w:jc w:val="center"/>
                  </w:pPr>
                  <w:r>
                    <w:t xml:space="preserve">4</w:t>
                  </w:r>
                </w:p>
              </w:tc>
            </w:tr>
            <w:tr>
              <w:tc>
                <w:tcPr/>
                <w:p>
                  <w:pPr>
                    <w:pStyle w:val="Compact"/>
                    <w:jc w:val="left"/>
                    <w:jc w:val="center"/>
                  </w:pPr>
                  <w:r>
                    <w:t xml:space="preserve">Foetal-biased</w:t>
                  </w:r>
                </w:p>
              </w:tc>
              <w:tc>
                <w:tcPr/>
                <w:p>
                  <w:pPr>
                    <w:pStyle w:val="Compact"/>
                    <w:jc w:val="left"/>
                    <w:jc w:val="center"/>
                  </w:pPr>
                  <w:r>
                    <w:t xml:space="preserve">HP:0000234</w:t>
                  </w:r>
                </w:p>
              </w:tc>
              <w:tc>
                <w:tcPr/>
                <w:p>
                  <w:pPr>
                    <w:pStyle w:val="Compact"/>
                    <w:jc w:val="left"/>
                    <w:jc w:val="center"/>
                  </w:pPr>
                  <w:r>
                    <w:t xml:space="preserve">Abnormality of the head</w:t>
                  </w:r>
                </w:p>
              </w:tc>
              <w:tc>
                <w:tcPr/>
                <w:p>
                  <w:pPr>
                    <w:pStyle w:val="Compact"/>
                    <w:jc w:val="left"/>
                    <w:jc w:val="center"/>
                  </w:pPr>
                  <w:r>
                    <w:t xml:space="preserve">1.59e-03</w:t>
                  </w:r>
                </w:p>
              </w:tc>
              <w:tc>
                <w:tcPr/>
                <w:p>
                  <w:pPr>
                    <w:pStyle w:val="Compact"/>
                    <w:jc w:val="right"/>
                    <w:jc w:val="center"/>
                  </w:pPr>
                  <w:r>
                    <w:t xml:space="preserve">1.7</w:t>
                  </w:r>
                </w:p>
              </w:tc>
              <w:tc>
                <w:tcPr/>
                <w:p>
                  <w:pPr>
                    <w:pStyle w:val="Compact"/>
                    <w:jc w:val="right"/>
                    <w:jc w:val="center"/>
                  </w:pPr>
                  <w:r>
                    <w:t xml:space="preserve">3</w:t>
                  </w:r>
                </w:p>
              </w:tc>
            </w:tr>
            <w:tr>
              <w:tc>
                <w:tcPr/>
                <w:p>
                  <w:pPr>
                    <w:pStyle w:val="Compact"/>
                    <w:jc w:val="left"/>
                    <w:jc w:val="center"/>
                  </w:pPr>
                  <w:r>
                    <w:t xml:space="preserve">Foetal-biased</w:t>
                  </w:r>
                </w:p>
              </w:tc>
              <w:tc>
                <w:tcPr/>
                <w:p>
                  <w:pPr>
                    <w:pStyle w:val="Compact"/>
                    <w:jc w:val="left"/>
                    <w:jc w:val="center"/>
                  </w:pPr>
                  <w:r>
                    <w:t xml:space="preserve">HP:0000152</w:t>
                  </w:r>
                </w:p>
              </w:tc>
              <w:tc>
                <w:tcPr/>
                <w:p>
                  <w:pPr>
                    <w:pStyle w:val="Compact"/>
                    <w:jc w:val="left"/>
                    <w:jc w:val="center"/>
                  </w:pPr>
                  <w:r>
                    <w:t xml:space="preserve">Abnormality of head or neck</w:t>
                  </w:r>
                </w:p>
              </w:tc>
              <w:tc>
                <w:tcPr/>
                <w:p>
                  <w:pPr>
                    <w:pStyle w:val="Compact"/>
                    <w:jc w:val="left"/>
                    <w:jc w:val="center"/>
                  </w:pPr>
                  <w:r>
                    <w:t xml:space="preserve">1.85e-03</w:t>
                  </w:r>
                </w:p>
              </w:tc>
              <w:tc>
                <w:tcPr/>
                <w:p>
                  <w:pPr>
                    <w:pStyle w:val="Compact"/>
                    <w:jc w:val="right"/>
                    <w:jc w:val="center"/>
                  </w:pPr>
                  <w:r>
                    <w:t xml:space="preserve">1.6</w:t>
                  </w:r>
                </w:p>
              </w:tc>
              <w:tc>
                <w:tcPr/>
                <w:p>
                  <w:pPr>
                    <w:pStyle w:val="Compact"/>
                    <w:jc w:val="right"/>
                    <w:jc w:val="center"/>
                  </w:pPr>
                  <w:r>
                    <w:t xml:space="preserve">2</w:t>
                  </w:r>
                </w:p>
              </w:tc>
            </w:tr>
            <w:tr>
              <w:tc>
                <w:tcPr/>
                <w:p>
                  <w:pPr>
                    <w:pStyle w:val="Compact"/>
                    <w:jc w:val="left"/>
                    <w:jc w:val="center"/>
                  </w:pPr>
                  <w:r>
                    <w:t xml:space="preserve">Foetal-biased</w:t>
                  </w:r>
                </w:p>
              </w:tc>
              <w:tc>
                <w:tcPr/>
                <w:p>
                  <w:pPr>
                    <w:pStyle w:val="Compact"/>
                    <w:jc w:val="left"/>
                    <w:jc w:val="center"/>
                  </w:pPr>
                  <w:r>
                    <w:t xml:space="preserve">HP:0010460</w:t>
                  </w:r>
                </w:p>
              </w:tc>
              <w:tc>
                <w:tcPr/>
                <w:p>
                  <w:pPr>
                    <w:pStyle w:val="Compact"/>
                    <w:jc w:val="left"/>
                    <w:jc w:val="center"/>
                  </w:pPr>
                  <w:r>
                    <w:t xml:space="preserve">Abnormality of the female genitalia</w:t>
                  </w:r>
                </w:p>
              </w:tc>
              <w:tc>
                <w:tcPr/>
                <w:p>
                  <w:pPr>
                    <w:pStyle w:val="Compact"/>
                    <w:jc w:val="left"/>
                    <w:jc w:val="center"/>
                  </w:pPr>
                  <w:r>
                    <w:t xml:space="preserve">3.27e-02</w:t>
                  </w:r>
                </w:p>
              </w:tc>
              <w:tc>
                <w:tcPr/>
                <w:p>
                  <w:pPr>
                    <w:pStyle w:val="Compact"/>
                    <w:jc w:val="right"/>
                    <w:jc w:val="center"/>
                  </w:pPr>
                  <w:r>
                    <w:t xml:space="preserve">2.8</w:t>
                  </w:r>
                </w:p>
              </w:tc>
              <w:tc>
                <w:tcPr/>
                <w:p>
                  <w:pPr>
                    <w:pStyle w:val="Compact"/>
                    <w:jc w:val="right"/>
                    <w:jc w:val="center"/>
                  </w:pPr>
                  <w:r>
                    <w:t xml:space="preserve">5</w:t>
                  </w:r>
                </w:p>
              </w:tc>
            </w:tr>
            <w:tr>
              <w:tc>
                <w:tcPr/>
                <w:p>
                  <w:pPr>
                    <w:pStyle w:val="Compact"/>
                    <w:jc w:val="left"/>
                    <w:jc w:val="center"/>
                  </w:pPr>
                  <w:r>
                    <w:t xml:space="preserve">Foetal-biased</w:t>
                  </w:r>
                </w:p>
              </w:tc>
              <w:tc>
                <w:tcPr/>
                <w:p>
                  <w:pPr>
                    <w:pStyle w:val="Compact"/>
                    <w:jc w:val="left"/>
                    <w:jc w:val="center"/>
                  </w:pPr>
                  <w:r>
                    <w:t xml:space="preserve">HP:0000811</w:t>
                  </w:r>
                </w:p>
              </w:tc>
              <w:tc>
                <w:tcPr/>
                <w:p>
                  <w:pPr>
                    <w:pStyle w:val="Compact"/>
                    <w:jc w:val="left"/>
                    <w:jc w:val="center"/>
                  </w:pPr>
                  <w:r>
                    <w:t xml:space="preserve">Abnormal external genitalia</w:t>
                  </w:r>
                </w:p>
              </w:tc>
              <w:tc>
                <w:tcPr/>
                <w:p>
                  <w:pPr>
                    <w:pStyle w:val="Compact"/>
                    <w:jc w:val="left"/>
                    <w:jc w:val="center"/>
                  </w:pPr>
                  <w:r>
                    <w:t xml:space="preserve">3.27e-02</w:t>
                  </w:r>
                </w:p>
              </w:tc>
              <w:tc>
                <w:tcPr/>
                <w:p>
                  <w:pPr>
                    <w:pStyle w:val="Compact"/>
                    <w:jc w:val="right"/>
                    <w:jc w:val="center"/>
                  </w:pPr>
                  <w:r>
                    <w:t xml:space="preserve">2.8</w:t>
                  </w:r>
                </w:p>
              </w:tc>
              <w:tc>
                <w:tcPr/>
                <w:p>
                  <w:pPr>
                    <w:pStyle w:val="Compact"/>
                    <w:jc w:val="right"/>
                    <w:jc w:val="center"/>
                  </w:pPr>
                  <w:r>
                    <w:t xml:space="preserve">5</w:t>
                  </w:r>
                </w:p>
              </w:tc>
            </w:tr>
            <w:tr>
              <w:tc>
                <w:tcPr/>
                <w:p>
                  <w:pPr>
                    <w:pStyle w:val="Compact"/>
                    <w:jc w:val="left"/>
                    <w:jc w:val="center"/>
                  </w:pPr>
                  <w:r>
                    <w:t xml:space="preserve">Foetal-biased</w:t>
                  </w:r>
                </w:p>
              </w:tc>
              <w:tc>
                <w:tcPr/>
                <w:p>
                  <w:pPr>
                    <w:pStyle w:val="Compact"/>
                    <w:jc w:val="left"/>
                    <w:jc w:val="center"/>
                  </w:pPr>
                  <w:r>
                    <w:t xml:space="preserve">HP:0000078</w:t>
                  </w:r>
                </w:p>
              </w:tc>
              <w:tc>
                <w:tcPr/>
                <w:p>
                  <w:pPr>
                    <w:pStyle w:val="Compact"/>
                    <w:jc w:val="left"/>
                    <w:jc w:val="center"/>
                  </w:pPr>
                  <w:r>
                    <w:t xml:space="preserve">Abnormality of the genital system</w:t>
                  </w:r>
                </w:p>
              </w:tc>
              <w:tc>
                <w:tcPr/>
                <w:p>
                  <w:pPr>
                    <w:pStyle w:val="Compact"/>
                    <w:jc w:val="left"/>
                    <w:jc w:val="center"/>
                  </w:pPr>
                  <w:r>
                    <w:t xml:space="preserve">3.27e-02</w:t>
                  </w:r>
                </w:p>
              </w:tc>
              <w:tc>
                <w:tcPr/>
                <w:p>
                  <w:pPr>
                    <w:pStyle w:val="Compact"/>
                    <w:jc w:val="right"/>
                    <w:jc w:val="center"/>
                  </w:pPr>
                  <w:r>
                    <w:t xml:space="preserve">1.9</w:t>
                  </w:r>
                </w:p>
              </w:tc>
              <w:tc>
                <w:tcPr/>
                <w:p>
                  <w:pPr>
                    <w:pStyle w:val="Compact"/>
                    <w:jc w:val="right"/>
                    <w:jc w:val="center"/>
                  </w:pPr>
                  <w:r>
                    <w:t xml:space="preserve">3</w:t>
                  </w:r>
                </w:p>
              </w:tc>
            </w:tr>
            <w:tr>
              <w:tc>
                <w:tcPr/>
                <w:p>
                  <w:pPr>
                    <w:pStyle w:val="Compact"/>
                    <w:jc w:val="left"/>
                    <w:jc w:val="center"/>
                  </w:pPr>
                  <w:r>
                    <w:t xml:space="preserve">Adult-biased</w:t>
                  </w:r>
                </w:p>
              </w:tc>
              <w:tc>
                <w:tcPr/>
                <w:p>
                  <w:pPr>
                    <w:pStyle w:val="Compact"/>
                    <w:jc w:val="left"/>
                    <w:jc w:val="center"/>
                  </w:pPr>
                  <w:r>
                    <w:t xml:space="preserve">HP:0010647</w:t>
                  </w:r>
                </w:p>
              </w:tc>
              <w:tc>
                <w:tcPr/>
                <w:p>
                  <w:pPr>
                    <w:pStyle w:val="Compact"/>
                    <w:jc w:val="left"/>
                    <w:jc w:val="center"/>
                  </w:pPr>
                  <w:r>
                    <w:t xml:space="preserve">Abnormal elasticity of skin</w:t>
                  </w:r>
                </w:p>
              </w:tc>
              <w:tc>
                <w:tcPr/>
                <w:p>
                  <w:pPr>
                    <w:pStyle w:val="Compact"/>
                    <w:jc w:val="left"/>
                    <w:jc w:val="center"/>
                  </w:pPr>
                  <w:r>
                    <w:t xml:space="preserve">1.13e-05</w:t>
                  </w:r>
                </w:p>
              </w:tc>
              <w:tc>
                <w:tcPr/>
                <w:p>
                  <w:pPr>
                    <w:pStyle w:val="Compact"/>
                    <w:jc w:val="right"/>
                    <w:jc w:val="center"/>
                  </w:pPr>
                  <w:r>
                    <w:t xml:space="preserve">6.0</w:t>
                  </w:r>
                </w:p>
              </w:tc>
              <w:tc>
                <w:tcPr/>
                <w:p>
                  <w:pPr>
                    <w:pStyle w:val="Compact"/>
                    <w:jc w:val="right"/>
                    <w:jc w:val="center"/>
                  </w:pPr>
                  <w:r>
                    <w:t xml:space="preserve">5</w:t>
                  </w:r>
                </w:p>
              </w:tc>
            </w:tr>
            <w:tr>
              <w:tc>
                <w:tcPr/>
                <w:p>
                  <w:pPr>
                    <w:pStyle w:val="Compact"/>
                    <w:jc w:val="left"/>
                    <w:jc w:val="center"/>
                  </w:pPr>
                  <w:r>
                    <w:t xml:space="preserve">Adult-biased</w:t>
                  </w:r>
                </w:p>
              </w:tc>
              <w:tc>
                <w:tcPr/>
                <w:p>
                  <w:pPr>
                    <w:pStyle w:val="Compact"/>
                    <w:jc w:val="left"/>
                    <w:jc w:val="center"/>
                  </w:pPr>
                  <w:r>
                    <w:t xml:space="preserve">HP:0008067</w:t>
                  </w:r>
                </w:p>
              </w:tc>
              <w:tc>
                <w:tcPr/>
                <w:p>
                  <w:pPr>
                    <w:pStyle w:val="Compact"/>
                    <w:jc w:val="left"/>
                    <w:jc w:val="center"/>
                  </w:pPr>
                  <w:r>
                    <w:t xml:space="preserve">Abnormally lax or hyperextensible skin</w:t>
                  </w:r>
                </w:p>
              </w:tc>
              <w:tc>
                <w:tcPr/>
                <w:p>
                  <w:pPr>
                    <w:pStyle w:val="Compact"/>
                    <w:jc w:val="left"/>
                    <w:jc w:val="center"/>
                  </w:pPr>
                  <w:r>
                    <w:t xml:space="preserve">2.04e-04</w:t>
                  </w:r>
                </w:p>
              </w:tc>
              <w:tc>
                <w:tcPr/>
                <w:p>
                  <w:pPr>
                    <w:pStyle w:val="Compact"/>
                    <w:jc w:val="right"/>
                    <w:jc w:val="center"/>
                  </w:pPr>
                  <w:r>
                    <w:t xml:space="preserve">6.0</w:t>
                  </w:r>
                </w:p>
              </w:tc>
              <w:tc>
                <w:tcPr/>
                <w:p>
                  <w:pPr>
                    <w:pStyle w:val="Compact"/>
                    <w:jc w:val="right"/>
                    <w:jc w:val="center"/>
                  </w:pPr>
                  <w:r>
                    <w:t xml:space="preserve">6</w:t>
                  </w:r>
                </w:p>
              </w:tc>
            </w:tr>
            <w:tr>
              <w:tc>
                <w:tcPr/>
                <w:p>
                  <w:pPr>
                    <w:pStyle w:val="Compact"/>
                    <w:jc w:val="left"/>
                    <w:jc w:val="center"/>
                  </w:pPr>
                  <w:r>
                    <w:t xml:space="preserve">Adult-biased</w:t>
                  </w:r>
                </w:p>
              </w:tc>
              <w:tc>
                <w:tcPr/>
                <w:p>
                  <w:pPr>
                    <w:pStyle w:val="Compact"/>
                    <w:jc w:val="left"/>
                    <w:jc w:val="center"/>
                  </w:pPr>
                  <w:r>
                    <w:t xml:space="preserve">HP:0011121</w:t>
                  </w:r>
                </w:p>
              </w:tc>
              <w:tc>
                <w:tcPr/>
                <w:p>
                  <w:pPr>
                    <w:pStyle w:val="Compact"/>
                    <w:jc w:val="left"/>
                    <w:jc w:val="center"/>
                  </w:pPr>
                  <w:r>
                    <w:t xml:space="preserve">Abnormal skin morphology</w:t>
                  </w:r>
                </w:p>
              </w:tc>
              <w:tc>
                <w:tcPr/>
                <w:p>
                  <w:pPr>
                    <w:pStyle w:val="Compact"/>
                    <w:jc w:val="left"/>
                    <w:jc w:val="center"/>
                  </w:pPr>
                  <w:r>
                    <w:t xml:space="preserve">4.06e-04</w:t>
                  </w:r>
                </w:p>
              </w:tc>
              <w:tc>
                <w:tcPr/>
                <w:p>
                  <w:pPr>
                    <w:pStyle w:val="Compact"/>
                    <w:jc w:val="right"/>
                    <w:jc w:val="center"/>
                  </w:pPr>
                  <w:r>
                    <w:t xml:space="preserve">2.4</w:t>
                  </w:r>
                </w:p>
              </w:tc>
              <w:tc>
                <w:tcPr/>
                <w:p>
                  <w:pPr>
                    <w:pStyle w:val="Compact"/>
                    <w:jc w:val="right"/>
                    <w:jc w:val="center"/>
                  </w:pPr>
                  <w:r>
                    <w:t xml:space="preserve">4</w:t>
                  </w:r>
                </w:p>
              </w:tc>
            </w:tr>
            <w:tr>
              <w:tc>
                <w:tcPr/>
                <w:p>
                  <w:pPr>
                    <w:pStyle w:val="Compact"/>
                    <w:jc w:val="left"/>
                    <w:jc w:val="center"/>
                  </w:pPr>
                  <w:r>
                    <w:t xml:space="preserve">Adult-biased</w:t>
                  </w:r>
                </w:p>
              </w:tc>
              <w:tc>
                <w:tcPr/>
                <w:p>
                  <w:pPr>
                    <w:pStyle w:val="Compact"/>
                    <w:jc w:val="left"/>
                    <w:jc w:val="center"/>
                  </w:pPr>
                  <w:r>
                    <w:t xml:space="preserve">HP:0000951</w:t>
                  </w:r>
                </w:p>
              </w:tc>
              <w:tc>
                <w:tcPr/>
                <w:p>
                  <w:pPr>
                    <w:pStyle w:val="Compact"/>
                    <w:jc w:val="left"/>
                    <w:jc w:val="center"/>
                  </w:pPr>
                  <w:r>
                    <w:t xml:space="preserve">Abnormality of the skin</w:t>
                  </w:r>
                </w:p>
              </w:tc>
              <w:tc>
                <w:tcPr/>
                <w:p>
                  <w:pPr>
                    <w:pStyle w:val="Compact"/>
                    <w:jc w:val="left"/>
                    <w:jc w:val="center"/>
                  </w:pPr>
                  <w:r>
                    <w:t xml:space="preserve">1.76e-03</w:t>
                  </w:r>
                </w:p>
              </w:tc>
              <w:tc>
                <w:tcPr/>
                <w:p>
                  <w:pPr>
                    <w:pStyle w:val="Compact"/>
                    <w:jc w:val="right"/>
                    <w:jc w:val="center"/>
                  </w:pPr>
                  <w:r>
                    <w:t xml:space="preserve">2.1</w:t>
                  </w:r>
                </w:p>
              </w:tc>
              <w:tc>
                <w:tcPr/>
                <w:p>
                  <w:pPr>
                    <w:pStyle w:val="Compact"/>
                    <w:jc w:val="right"/>
                    <w:jc w:val="center"/>
                  </w:pPr>
                  <w:r>
                    <w:t xml:space="preserve">3</w:t>
                  </w:r>
                </w:p>
              </w:tc>
            </w:tr>
            <w:tr>
              <w:tc>
                <w:tcPr/>
                <w:p>
                  <w:pPr>
                    <w:pStyle w:val="Compact"/>
                    <w:jc w:val="left"/>
                    <w:jc w:val="center"/>
                  </w:pPr>
                  <w:r>
                    <w:t xml:space="preserve">Adult-biased</w:t>
                  </w:r>
                </w:p>
              </w:tc>
              <w:tc>
                <w:tcPr/>
                <w:p>
                  <w:pPr>
                    <w:pStyle w:val="Compact"/>
                    <w:jc w:val="left"/>
                    <w:jc w:val="center"/>
                  </w:pPr>
                  <w:r>
                    <w:t xml:space="preserve">HP:0001574</w:t>
                  </w:r>
                </w:p>
              </w:tc>
              <w:tc>
                <w:tcPr/>
                <w:p>
                  <w:pPr>
                    <w:pStyle w:val="Compact"/>
                    <w:jc w:val="left"/>
                    <w:jc w:val="center"/>
                  </w:pPr>
                  <w:r>
                    <w:t xml:space="preserve">Abnormality of the integument</w:t>
                  </w:r>
                </w:p>
              </w:tc>
              <w:tc>
                <w:tcPr/>
                <w:p>
                  <w:pPr>
                    <w:pStyle w:val="Compact"/>
                    <w:jc w:val="left"/>
                    <w:jc w:val="center"/>
                  </w:pPr>
                  <w:r>
                    <w:t xml:space="preserve">1.26e-02</w:t>
                  </w:r>
                </w:p>
              </w:tc>
              <w:tc>
                <w:tcPr/>
                <w:p>
                  <w:pPr>
                    <w:pStyle w:val="Compact"/>
                    <w:jc w:val="right"/>
                    <w:jc w:val="center"/>
                  </w:pPr>
                  <w:r>
                    <w:t xml:space="preserve">1.6</w:t>
                  </w:r>
                </w:p>
              </w:tc>
              <w:tc>
                <w:tcPr/>
                <w:p>
                  <w:pPr>
                    <w:pStyle w:val="Compact"/>
                    <w:jc w:val="right"/>
                    <w:jc w:val="center"/>
                  </w:pPr>
                  <w:r>
                    <w:t xml:space="preserve">2</w:t>
                  </w:r>
                </w:p>
              </w:tc>
            </w:tr>
            <w:tr>
              <w:tc>
                <w:tcPr/>
                <w:p>
                  <w:pPr>
                    <w:pStyle w:val="Compact"/>
                    <w:jc w:val="left"/>
                    <w:jc w:val="center"/>
                  </w:pPr>
                  <w:r>
                    <w:t xml:space="preserve">Adult-biased</w:t>
                  </w:r>
                </w:p>
              </w:tc>
              <w:tc>
                <w:tcPr/>
                <w:p>
                  <w:pPr>
                    <w:pStyle w:val="Compact"/>
                    <w:jc w:val="left"/>
                    <w:jc w:val="center"/>
                  </w:pPr>
                  <w:r>
                    <w:t xml:space="preserve">HP:0001626</w:t>
                  </w:r>
                </w:p>
              </w:tc>
              <w:tc>
                <w:tcPr/>
                <w:p>
                  <w:pPr>
                    <w:pStyle w:val="Compact"/>
                    <w:jc w:val="left"/>
                    <w:jc w:val="center"/>
                  </w:pPr>
                  <w:r>
                    <w:t xml:space="preserve">Abnormality of the cardiovascular system</w:t>
                  </w:r>
                </w:p>
              </w:tc>
              <w:tc>
                <w:tcPr/>
                <w:p>
                  <w:pPr>
                    <w:pStyle w:val="Compact"/>
                    <w:jc w:val="left"/>
                    <w:jc w:val="center"/>
                  </w:pPr>
                  <w:r>
                    <w:t xml:space="preserve">2.39e-02</w:t>
                  </w:r>
                </w:p>
              </w:tc>
              <w:tc>
                <w:tcPr/>
                <w:p>
                  <w:pPr>
                    <w:pStyle w:val="Compact"/>
                    <w:jc w:val="right"/>
                    <w:jc w:val="center"/>
                  </w:pPr>
                  <w:r>
                    <w:t xml:space="preserve">1.4</w:t>
                  </w:r>
                </w:p>
              </w:tc>
              <w:tc>
                <w:tcPr/>
                <w:p>
                  <w:pPr>
                    <w:pStyle w:val="Compact"/>
                    <w:jc w:val="right"/>
                    <w:jc w:val="center"/>
                  </w:pPr>
                  <w:r>
                    <w:t xml:space="preserve">2</w:t>
                  </w:r>
                </w:p>
              </w:tc>
            </w:tr>
            <w:tr>
              <w:tc>
                <w:tcPr/>
                <w:p>
                  <w:pPr>
                    <w:pStyle w:val="Compact"/>
                    <w:jc w:val="left"/>
                    <w:jc w:val="center"/>
                  </w:pPr>
                  <w:r>
                    <w:t xml:space="preserve">Adult-biased</w:t>
                  </w:r>
                </w:p>
              </w:tc>
              <w:tc>
                <w:tcPr/>
                <w:p>
                  <w:pPr>
                    <w:pStyle w:val="Compact"/>
                    <w:jc w:val="left"/>
                    <w:jc w:val="center"/>
                  </w:pPr>
                  <w:r>
                    <w:t xml:space="preserve">HP:0030680</w:t>
                  </w:r>
                </w:p>
              </w:tc>
              <w:tc>
                <w:tcPr/>
                <w:p>
                  <w:pPr>
                    <w:pStyle w:val="Compact"/>
                    <w:jc w:val="left"/>
                    <w:jc w:val="center"/>
                  </w:pPr>
                  <w:r>
                    <w:t xml:space="preserve">Abnormal cardiovascular system morphology</w:t>
                  </w:r>
                </w:p>
              </w:tc>
              <w:tc>
                <w:tcPr/>
                <w:p>
                  <w:pPr>
                    <w:pStyle w:val="Compact"/>
                    <w:jc w:val="left"/>
                    <w:jc w:val="center"/>
                  </w:pPr>
                  <w:r>
                    <w:t xml:space="preserve">2.39e-02</w:t>
                  </w:r>
                </w:p>
              </w:tc>
              <w:tc>
                <w:tcPr/>
                <w:p>
                  <w:pPr>
                    <w:pStyle w:val="Compact"/>
                    <w:jc w:val="right"/>
                    <w:jc w:val="center"/>
                  </w:pPr>
                  <w:r>
                    <w:t xml:space="preserve">1.7</w:t>
                  </w:r>
                </w:p>
              </w:tc>
              <w:tc>
                <w:tcPr/>
                <w:p>
                  <w:pPr>
                    <w:pStyle w:val="Compact"/>
                    <w:jc w:val="right"/>
                    <w:jc w:val="center"/>
                  </w:pPr>
                  <w:r>
                    <w:t xml:space="preserve">3</w:t>
                  </w:r>
                </w:p>
              </w:tc>
            </w:tr>
            <w:tr>
              <w:tc>
                <w:tcPr/>
                <w:p>
                  <w:pPr>
                    <w:pStyle w:val="Compact"/>
                    <w:jc w:val="left"/>
                    <w:jc w:val="center"/>
                  </w:pPr>
                  <w:r>
                    <w:t xml:space="preserve">Adult-biased</w:t>
                  </w:r>
                </w:p>
              </w:tc>
              <w:tc>
                <w:tcPr/>
                <w:p>
                  <w:pPr>
                    <w:pStyle w:val="Compact"/>
                    <w:jc w:val="left"/>
                    <w:jc w:val="center"/>
                  </w:pPr>
                  <w:r>
                    <w:t xml:space="preserve">HP:0025015</w:t>
                  </w:r>
                </w:p>
              </w:tc>
              <w:tc>
                <w:tcPr/>
                <w:p>
                  <w:pPr>
                    <w:pStyle w:val="Compact"/>
                    <w:jc w:val="left"/>
                    <w:jc w:val="center"/>
                  </w:pPr>
                  <w:r>
                    <w:t xml:space="preserve">Abnormal vascular morphology</w:t>
                  </w:r>
                </w:p>
              </w:tc>
              <w:tc>
                <w:tcPr/>
                <w:p>
                  <w:pPr>
                    <w:pStyle w:val="Compact"/>
                    <w:jc w:val="left"/>
                    <w:jc w:val="center"/>
                  </w:pPr>
                  <w:r>
                    <w:t xml:space="preserve">3.99e-02</w:t>
                  </w:r>
                </w:p>
              </w:tc>
              <w:tc>
                <w:tcPr/>
                <w:p>
                  <w:pPr>
                    <w:pStyle w:val="Compact"/>
                    <w:jc w:val="right"/>
                    <w:jc w:val="center"/>
                  </w:pPr>
                  <w:r>
                    <w:t xml:space="preserve">1.9</w:t>
                  </w:r>
                </w:p>
              </w:tc>
              <w:tc>
                <w:tcPr/>
                <w:p>
                  <w:pPr>
                    <w:pStyle w:val="Compact"/>
                    <w:jc w:val="right"/>
                    <w:jc w:val="center"/>
                  </w:pPr>
                  <w:r>
                    <w:t xml:space="preserve">4</w:t>
                  </w:r>
                </w:p>
              </w:tc>
            </w:tr>
            <w:tr>
              <w:tc>
                <w:tcPr/>
                <w:p>
                  <w:pPr>
                    <w:pStyle w:val="Compact"/>
                    <w:jc w:val="left"/>
                    <w:jc w:val="center"/>
                  </w:pPr>
                  <w:r>
                    <w:t xml:space="preserve">Adult-biased</w:t>
                  </w:r>
                </w:p>
              </w:tc>
              <w:tc>
                <w:tcPr/>
                <w:p>
                  <w:pPr>
                    <w:pStyle w:val="Compact"/>
                    <w:jc w:val="left"/>
                    <w:jc w:val="center"/>
                  </w:pPr>
                  <w:r>
                    <w:t xml:space="preserve">HP:0030962</w:t>
                  </w:r>
                </w:p>
              </w:tc>
              <w:tc>
                <w:tcPr/>
                <w:p>
                  <w:pPr>
                    <w:pStyle w:val="Compact"/>
                    <w:jc w:val="left"/>
                    <w:jc w:val="center"/>
                  </w:pPr>
                  <w:r>
                    <w:t xml:space="preserve">Abnormal morphology of the great vessels</w:t>
                  </w:r>
                </w:p>
              </w:tc>
              <w:tc>
                <w:tcPr/>
                <w:p>
                  <w:pPr>
                    <w:pStyle w:val="Compact"/>
                    <w:jc w:val="left"/>
                    <w:jc w:val="center"/>
                  </w:pPr>
                  <w:r>
                    <w:t xml:space="preserve">3.99e-02</w:t>
                  </w:r>
                </w:p>
              </w:tc>
              <w:tc>
                <w:tcPr/>
                <w:p>
                  <w:pPr>
                    <w:pStyle w:val="Compact"/>
                    <w:jc w:val="right"/>
                    <w:jc w:val="center"/>
                  </w:pPr>
                  <w:r>
                    <w:t xml:space="preserve">2.7</w:t>
                  </w:r>
                </w:p>
              </w:tc>
              <w:tc>
                <w:tcPr/>
                <w:p>
                  <w:pPr>
                    <w:pStyle w:val="Compact"/>
                    <w:jc w:val="right"/>
                    <w:jc w:val="center"/>
                  </w:pPr>
                  <w:r>
                    <w:t xml:space="preserve">6</w:t>
                  </w:r>
                </w:p>
              </w:tc>
            </w:tr>
          </w:tbl>
          <w:bookmarkEnd w:id="364"/>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5" w:name="tbl-fetal_examples"/>
          <w:p>
            <w:pPr>
              <w:jc w:val="center"/>
            </w:pPr>
            <w:pPr>
              <w:jc w:val="left"/>
              <w:spacing w:before="200"/>
              <w:pStyle w:val="ImageCaption"/>
            </w:pPr>
            <w:r>
              <w:t xml:space="preserve">Table S10:</w:t>
            </w:r>
            <w:r>
              <w:t xml:space="preserve"> </w:t>
            </w:r>
            <w:r>
              <w:rPr>
                <w:b/>
                <w:bCs/>
              </w:rPr>
              <w:t xml:space="preserve">Examples of specific phenotypes that are most biased towards associations with only the foetal versions of cell types (</w:t>
            </w:r>
            <w:r>
              <w:rPr>
                <w:b/>
                <w:bCs/>
              </w:rPr>
              <w:t xml:space="preserve">“Foetal-biased”</w:t>
            </w:r>
            <w:r>
              <w:rPr>
                <w:b/>
                <w:bCs/>
              </w:rPr>
              <w:t xml:space="preserve">) and those biased towards the adult versions of cell types (</w:t>
            </w:r>
            <w:r>
              <w:rPr>
                <w:b/>
                <w:bCs/>
              </w:rPr>
              <w:t xml:space="preserve">“Adult-biased”</w:t>
            </w:r>
            <w:r>
              <w:rPr>
                <w:b/>
                <w:bCs/>
              </w:rPr>
              <w:t xml:space="preserve">).</w:t>
            </w:r>
            <w:r>
              <w:t xml:space="preserve"> </w:t>
            </w:r>
            <w:r>
              <w:t xml:space="preserve">“p-value difference”</w:t>
            </w:r>
            <w:r>
              <w:t xml:space="preserve"> </w:t>
            </w:r>
            <w:r>
              <w:t xml:space="preserve">is the difference in the association p-values between the foetal and adult version of the equivalent cell type (</w:t>
            </w:r>
            <m:oMath>
              <m:r>
                <m:rPr>
                  <m:nor/>
                  <m:sty m:val="p"/>
                </m:rPr>
                <m:t>foetal-adult bias</m:t>
              </m:r>
              <m:r>
                <m:rPr>
                  <m:sty m:val="p"/>
                </m:rPr>
                <m:t>:</m:t>
              </m:r>
              <m:sSub>
                <m:e>
                  <m:r>
                    <m:t>p</m:t>
                  </m:r>
                </m:e>
                <m:sub>
                  <m:r>
                    <m:t>a</m:t>
                  </m:r>
                  <m:r>
                    <m:t>d</m:t>
                  </m:r>
                  <m:r>
                    <m:t>u</m:t>
                  </m:r>
                  <m:r>
                    <m:t>l</m:t>
                  </m:r>
                  <m:r>
                    <m:t>t</m:t>
                  </m:r>
                </m:sub>
              </m:sSub>
              <m:r>
                <m:rPr>
                  <m:sty m:val="p"/>
                </m:rPr>
                <m:t>−</m:t>
              </m:r>
              <m:sSub>
                <m:e>
                  <m:r>
                    <m:t>p</m:t>
                  </m:r>
                </m:e>
                <m:sub>
                  <m:r>
                    <m:t>f</m:t>
                  </m:r>
                  <m:r>
                    <m:t>o</m:t>
                  </m:r>
                  <m:r>
                    <m:t>e</m:t>
                  </m:r>
                  <m:r>
                    <m:t>t</m:t>
                  </m:r>
                  <m:r>
                    <m:t>a</m:t>
                  </m:r>
                  <m:r>
                    <m:t>l</m:t>
                  </m:r>
                </m:sub>
              </m:sSub>
              <m:r>
                <m:rPr>
                  <m:sty m:val="p"/>
                </m:rPr>
                <m:t>=</m:t>
              </m:r>
              <m:r>
                <m:t>Δ</m:t>
              </m:r>
              <m:r>
                <m:t>p</m:t>
              </m:r>
              <m:r>
                <m:rPr>
                  <m:sty m:val="p"/>
                </m:rPr>
                <m:t>∈</m:t>
              </m:r>
              <m:d>
                <m:dPr>
                  <m:begChr m:val="["/>
                  <m:sepChr m:val=""/>
                  <m:endChr m:val="]"/>
                  <m:grow/>
                </m:dPr>
                <m:e>
                  <m:r>
                    <m:rPr>
                      <m:sty m:val="p"/>
                    </m:rPr>
                    <m:t>−</m:t>
                  </m:r>
                  <m:r>
                    <m:t>1</m:t>
                  </m:r>
                  <m:r>
                    <m:rPr>
                      <m:sty m:val="p"/>
                    </m:rPr>
                    <m:t>,</m:t>
                  </m:r>
                  <m:r>
                    <m:t>1</m:t>
                  </m:r>
                </m:e>
              </m:d>
            </m:oMath>
            <w:r>
              <w:t xml:space="preserve">).</w:t>
            </w:r>
          </w:p>
          <w:tbl>
            <w:tblPr>
              <w:tblStyle w:val="Table"/>
              <w:tblW w:type="pct" w:w="5000"/>
              <w:tblLayout w:type="fixed"/>
              <w:tblLook w:firstRow="1" w:lastRow="0" w:firstColumn="0" w:lastColumn="0" w:noHBand="0" w:noVBand="0" w:val="0020"/>
            </w:tblPr>
            <w:tblGrid>
              <w:gridCol w:w="1007"/>
              <w:gridCol w:w="2880"/>
              <w:gridCol w:w="792"/>
              <w:gridCol w:w="792"/>
              <w:gridCol w:w="1080"/>
              <w:gridCol w:w="1368"/>
            </w:tblGrid>
            <w:tr>
              <w:trPr>
                <w:tblHeader w:val="on"/>
              </w:trPr>
              <w:tc>
                <w:tcPr/>
                <w:p>
                  <w:pPr>
                    <w:pStyle w:val="Compact"/>
                    <w:jc w:val="left"/>
                    <w:jc w:val="center"/>
                  </w:pPr>
                  <w:r>
                    <w:t xml:space="preserve">Group</w:t>
                  </w:r>
                </w:p>
              </w:tc>
              <w:tc>
                <w:tcPr/>
                <w:p>
                  <w:pPr>
                    <w:pStyle w:val="Compact"/>
                    <w:jc w:val="left"/>
                    <w:jc w:val="center"/>
                  </w:pPr>
                  <w:r>
                    <w:t xml:space="preserve">HPO name</w:t>
                  </w:r>
                </w:p>
              </w:tc>
              <w:tc>
                <w:tcPr/>
                <w:p>
                  <w:pPr>
                    <w:pStyle w:val="Compact"/>
                    <w:jc w:val="left"/>
                    <w:jc w:val="center"/>
                  </w:pPr>
                  <w:r>
                    <w:t xml:space="preserve">HPO ID</w:t>
                  </w:r>
                </w:p>
              </w:tc>
              <w:tc>
                <w:tcPr/>
                <w:p>
                  <w:pPr>
                    <w:pStyle w:val="Compact"/>
                    <w:jc w:val="left"/>
                    <w:jc w:val="center"/>
                  </w:pPr>
                  <w:r>
                    <w:t xml:space="preserve">CL ID</w:t>
                  </w:r>
                </w:p>
              </w:tc>
              <w:tc>
                <w:tcPr/>
                <w:p>
                  <w:pPr>
                    <w:pStyle w:val="Compact"/>
                    <w:jc w:val="left"/>
                    <w:jc w:val="center"/>
                  </w:pPr>
                  <w:r>
                    <w:t xml:space="preserve">CL name</w:t>
                  </w:r>
                </w:p>
              </w:tc>
              <w:tc>
                <w:tcPr/>
                <w:p>
                  <w:pPr>
                    <w:pStyle w:val="Compact"/>
                    <w:jc w:val="right"/>
                    <w:jc w:val="center"/>
                  </w:pPr>
                  <w:r>
                    <w:t xml:space="preserve">p-value difference</w:t>
                  </w:r>
                </w:p>
              </w:tc>
            </w:tr>
            <w:tr>
              <w:tc>
                <w:tcPr/>
                <w:p>
                  <w:pPr>
                    <w:pStyle w:val="Compact"/>
                    <w:jc w:val="left"/>
                    <w:jc w:val="center"/>
                  </w:pPr>
                  <w:r>
                    <w:t xml:space="preserve">Foetal-biased</w:t>
                  </w:r>
                </w:p>
              </w:tc>
              <w:tc>
                <w:tcPr/>
                <w:p>
                  <w:pPr>
                    <w:pStyle w:val="Compact"/>
                    <w:jc w:val="left"/>
                    <w:jc w:val="center"/>
                  </w:pPr>
                  <w:r>
                    <w:t xml:space="preserve">Short middle phalanx of the 2nd finger</w:t>
                  </w:r>
                </w:p>
              </w:tc>
              <w:tc>
                <w:tcPr/>
                <w:p>
                  <w:pPr>
                    <w:pStyle w:val="Compact"/>
                    <w:jc w:val="left"/>
                    <w:jc w:val="center"/>
                  </w:pPr>
                  <w:r>
                    <w:t xml:space="preserve">HP:0009577</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0.99</w:t>
                  </w:r>
                </w:p>
              </w:tc>
            </w:tr>
            <w:tr>
              <w:tc>
                <w:tcPr/>
                <w:p>
                  <w:pPr>
                    <w:pStyle w:val="Compact"/>
                    <w:jc w:val="left"/>
                    <w:jc w:val="center"/>
                  </w:pPr>
                  <w:r>
                    <w:t xml:space="preserve">Foetal-biased</w:t>
                  </w:r>
                </w:p>
              </w:tc>
              <w:tc>
                <w:tcPr/>
                <w:p>
                  <w:pPr>
                    <w:pStyle w:val="Compact"/>
                    <w:jc w:val="left"/>
                    <w:jc w:val="center"/>
                  </w:pPr>
                  <w:r>
                    <w:t xml:space="preserve">Abnormal morphology of the nasal alae</w:t>
                  </w:r>
                </w:p>
              </w:tc>
              <w:tc>
                <w:tcPr/>
                <w:p>
                  <w:pPr>
                    <w:pStyle w:val="Compact"/>
                    <w:jc w:val="left"/>
                    <w:jc w:val="center"/>
                  </w:pPr>
                  <w:r>
                    <w:t xml:space="preserve">HP:0000429</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0.95</w:t>
                  </w:r>
                </w:p>
              </w:tc>
            </w:tr>
            <w:tr>
              <w:tc>
                <w:tcPr/>
                <w:p>
                  <w:pPr>
                    <w:pStyle w:val="Compact"/>
                    <w:jc w:val="left"/>
                    <w:jc w:val="center"/>
                  </w:pPr>
                  <w:r>
                    <w:t xml:space="preserve">Foetal-biased</w:t>
                  </w:r>
                </w:p>
              </w:tc>
              <w:tc>
                <w:tcPr/>
                <w:p>
                  <w:pPr>
                    <w:pStyle w:val="Compact"/>
                    <w:jc w:val="left"/>
                    <w:jc w:val="center"/>
                  </w:pPr>
                  <w:r>
                    <w:t xml:space="preserve">Abnormal labia minora morphology</w:t>
                  </w:r>
                </w:p>
              </w:tc>
              <w:tc>
                <w:tcPr/>
                <w:p>
                  <w:pPr>
                    <w:pStyle w:val="Compact"/>
                    <w:jc w:val="left"/>
                    <w:jc w:val="center"/>
                  </w:pPr>
                  <w:r>
                    <w:t xml:space="preserve">HP:0012880</w:t>
                  </w:r>
                </w:p>
              </w:tc>
              <w:tc>
                <w:tcPr/>
                <w:p>
                  <w:pPr>
                    <w:pStyle w:val="Compact"/>
                    <w:jc w:val="left"/>
                    <w:jc w:val="center"/>
                  </w:pPr>
                  <w:r>
                    <w:t xml:space="preserve">CL:0000499</w:t>
                  </w:r>
                </w:p>
              </w:tc>
              <w:tc>
                <w:tcPr/>
                <w:p>
                  <w:pPr>
                    <w:pStyle w:val="Compact"/>
                    <w:jc w:val="left"/>
                    <w:jc w:val="center"/>
                  </w:pPr>
                  <w:r>
                    <w:t xml:space="preserve">stromal cell</w:t>
                  </w:r>
                </w:p>
              </w:tc>
              <w:tc>
                <w:tcPr/>
                <w:p>
                  <w:pPr>
                    <w:pStyle w:val="Compact"/>
                    <w:jc w:val="right"/>
                    <w:jc w:val="center"/>
                  </w:pPr>
                  <w:r>
                    <w:t xml:space="preserve">0.94</w:t>
                  </w:r>
                </w:p>
              </w:tc>
            </w:tr>
            <w:tr>
              <w:tc>
                <w:tcPr/>
                <w:p>
                  <w:pPr>
                    <w:pStyle w:val="Compact"/>
                    <w:jc w:val="left"/>
                    <w:jc w:val="center"/>
                  </w:pPr>
                  <w:r>
                    <w:t xml:space="preserve">Foetal-biased</w:t>
                  </w:r>
                </w:p>
              </w:tc>
              <w:tc>
                <w:tcPr/>
                <w:p>
                  <w:pPr>
                    <w:pStyle w:val="Compact"/>
                    <w:jc w:val="left"/>
                    <w:jc w:val="center"/>
                  </w:pPr>
                  <w:r>
                    <w:t xml:space="preserve">Acromesomelia</w:t>
                  </w:r>
                </w:p>
              </w:tc>
              <w:tc>
                <w:tcPr/>
                <w:p>
                  <w:pPr>
                    <w:pStyle w:val="Compact"/>
                    <w:jc w:val="left"/>
                    <w:jc w:val="center"/>
                  </w:pPr>
                  <w:r>
                    <w:t xml:space="preserve">HP:0003086</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0.93</w:t>
                  </w:r>
                </w:p>
              </w:tc>
            </w:tr>
            <w:tr>
              <w:tc>
                <w:tcPr/>
                <w:p>
                  <w:pPr>
                    <w:pStyle w:val="Compact"/>
                    <w:jc w:val="left"/>
                    <w:jc w:val="center"/>
                  </w:pPr>
                  <w:r>
                    <w:t xml:space="preserve">Foetal-biased</w:t>
                  </w:r>
                </w:p>
              </w:tc>
              <w:tc>
                <w:tcPr/>
                <w:p>
                  <w:pPr>
                    <w:pStyle w:val="Compact"/>
                    <w:jc w:val="left"/>
                    <w:jc w:val="center"/>
                  </w:pPr>
                  <w:r>
                    <w:t xml:space="preserve">Left atrial isomerism</w:t>
                  </w:r>
                </w:p>
              </w:tc>
              <w:tc>
                <w:tcPr/>
                <w:p>
                  <w:pPr>
                    <w:pStyle w:val="Compact"/>
                    <w:jc w:val="left"/>
                    <w:jc w:val="center"/>
                  </w:pPr>
                  <w:r>
                    <w:t xml:space="preserve">HP:0011537</w:t>
                  </w:r>
                </w:p>
              </w:tc>
              <w:tc>
                <w:tcPr/>
                <w:p>
                  <w:pPr>
                    <w:pStyle w:val="Compact"/>
                    <w:jc w:val="left"/>
                    <w:jc w:val="center"/>
                  </w:pPr>
                  <w:r>
                    <w:t xml:space="preserve">CL:0000163</w:t>
                  </w:r>
                </w:p>
              </w:tc>
              <w:tc>
                <w:tcPr/>
                <w:p>
                  <w:pPr>
                    <w:pStyle w:val="Compact"/>
                    <w:jc w:val="left"/>
                    <w:jc w:val="center"/>
                  </w:pPr>
                  <w:r>
                    <w:t xml:space="preserve">endocrine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Fixed facial expression</w:t>
                  </w:r>
                </w:p>
              </w:tc>
              <w:tc>
                <w:tcPr/>
                <w:p>
                  <w:pPr>
                    <w:pStyle w:val="Compact"/>
                    <w:jc w:val="left"/>
                    <w:jc w:val="center"/>
                  </w:pPr>
                  <w:r>
                    <w:t xml:space="preserve">HP:0005329</w:t>
                  </w:r>
                </w:p>
              </w:tc>
              <w:tc>
                <w:tcPr/>
                <w:p>
                  <w:pPr>
                    <w:pStyle w:val="Compact"/>
                    <w:jc w:val="left"/>
                    <w:jc w:val="center"/>
                  </w:pPr>
                  <w:r>
                    <w:t xml:space="preserve">CL:0000499</w:t>
                  </w:r>
                </w:p>
              </w:tc>
              <w:tc>
                <w:tcPr/>
                <w:p>
                  <w:pPr>
                    <w:pStyle w:val="Compact"/>
                    <w:jc w:val="left"/>
                    <w:jc w:val="center"/>
                  </w:pPr>
                  <w:r>
                    <w:t xml:space="preserve">stromal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Migraine without aura</w:t>
                  </w:r>
                </w:p>
              </w:tc>
              <w:tc>
                <w:tcPr/>
                <w:p>
                  <w:pPr>
                    <w:pStyle w:val="Compact"/>
                    <w:jc w:val="left"/>
                    <w:jc w:val="center"/>
                  </w:pPr>
                  <w:r>
                    <w:t xml:space="preserve">HP:0002083</w:t>
                  </w:r>
                </w:p>
              </w:tc>
              <w:tc>
                <w:tcPr/>
                <w:p>
                  <w:pPr>
                    <w:pStyle w:val="Compact"/>
                    <w:jc w:val="left"/>
                    <w:jc w:val="center"/>
                  </w:pPr>
                  <w:r>
                    <w:t xml:space="preserve">CL:0000163</w:t>
                  </w:r>
                </w:p>
              </w:tc>
              <w:tc>
                <w:tcPr/>
                <w:p>
                  <w:pPr>
                    <w:pStyle w:val="Compact"/>
                    <w:jc w:val="left"/>
                    <w:jc w:val="center"/>
                  </w:pPr>
                  <w:r>
                    <w:t xml:space="preserve">endocrine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Truncal ataxia</w:t>
                  </w:r>
                </w:p>
              </w:tc>
              <w:tc>
                <w:tcPr/>
                <w:p>
                  <w:pPr>
                    <w:pStyle w:val="Compact"/>
                    <w:jc w:val="left"/>
                    <w:jc w:val="center"/>
                  </w:pPr>
                  <w:r>
                    <w:t xml:space="preserve">HP:0002078</w:t>
                  </w:r>
                </w:p>
              </w:tc>
              <w:tc>
                <w:tcPr/>
                <w:p>
                  <w:pPr>
                    <w:pStyle w:val="Compact"/>
                    <w:jc w:val="left"/>
                    <w:jc w:val="center"/>
                  </w:pPr>
                  <w:r>
                    <w:t xml:space="preserve">CL:0000163</w:t>
                  </w:r>
                </w:p>
              </w:tc>
              <w:tc>
                <w:tcPr/>
                <w:p>
                  <w:pPr>
                    <w:pStyle w:val="Compact"/>
                    <w:jc w:val="left"/>
                    <w:jc w:val="center"/>
                  </w:pPr>
                  <w:r>
                    <w:t xml:space="preserve">endocrine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Anteverted nares</w:t>
                  </w:r>
                </w:p>
              </w:tc>
              <w:tc>
                <w:tcPr/>
                <w:p>
                  <w:pPr>
                    <w:pStyle w:val="Compact"/>
                    <w:jc w:val="left"/>
                    <w:jc w:val="center"/>
                  </w:pPr>
                  <w:r>
                    <w:t xml:space="preserve">HP:0000463</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0.91</w:t>
                  </w:r>
                </w:p>
              </w:tc>
            </w:tr>
            <w:tr>
              <w:tc>
                <w:tcPr/>
                <w:p>
                  <w:pPr>
                    <w:pStyle w:val="Compact"/>
                    <w:jc w:val="left"/>
                    <w:jc w:val="center"/>
                  </w:pPr>
                  <w:r>
                    <w:t xml:space="preserve">Foetal-biased</w:t>
                  </w:r>
                </w:p>
              </w:tc>
              <w:tc>
                <w:tcPr/>
                <w:p>
                  <w:pPr>
                    <w:pStyle w:val="Compact"/>
                    <w:jc w:val="left"/>
                    <w:jc w:val="center"/>
                  </w:pPr>
                  <w:r>
                    <w:t xml:space="preserve">Short 1st metacarpal</w:t>
                  </w:r>
                </w:p>
              </w:tc>
              <w:tc>
                <w:tcPr/>
                <w:p>
                  <w:pPr>
                    <w:pStyle w:val="Compact"/>
                    <w:jc w:val="left"/>
                    <w:jc w:val="center"/>
                  </w:pPr>
                  <w:r>
                    <w:t xml:space="preserve">HP:0010034</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0.90</w:t>
                  </w:r>
                </w:p>
              </w:tc>
            </w:tr>
            <w:tr>
              <w:tc>
                <w:tcPr/>
                <w:p>
                  <w:pPr>
                    <w:pStyle w:val="Compact"/>
                    <w:jc w:val="left"/>
                    <w:jc w:val="center"/>
                  </w:pPr>
                  <w:r>
                    <w:t xml:space="preserve">Adult-biased</w:t>
                  </w:r>
                </w:p>
              </w:tc>
              <w:tc>
                <w:tcPr/>
                <w:p>
                  <w:pPr>
                    <w:pStyle w:val="Compact"/>
                    <w:jc w:val="left"/>
                    <w:jc w:val="center"/>
                  </w:pPr>
                  <w:r>
                    <w:t xml:space="preserve">Symblepharon</w:t>
                  </w:r>
                </w:p>
              </w:tc>
              <w:tc>
                <w:tcPr/>
                <w:p>
                  <w:pPr>
                    <w:pStyle w:val="Compact"/>
                    <w:jc w:val="left"/>
                    <w:jc w:val="center"/>
                  </w:pPr>
                  <w:r>
                    <w:t xml:space="preserve">HP:0430007</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-0.97</w:t>
                  </w:r>
                </w:p>
              </w:tc>
            </w:tr>
            <w:tr>
              <w:tc>
                <w:tcPr/>
                <w:p>
                  <w:pPr>
                    <w:pStyle w:val="Compact"/>
                    <w:jc w:val="left"/>
                    <w:jc w:val="center"/>
                  </w:pPr>
                  <w:r>
                    <w:t xml:space="preserve">Adult-biased</w:t>
                  </w:r>
                </w:p>
              </w:tc>
              <w:tc>
                <w:tcPr/>
                <w:p>
                  <w:pPr>
                    <w:pStyle w:val="Compact"/>
                    <w:jc w:val="left"/>
                    <w:jc w:val="center"/>
                  </w:pPr>
                  <w:r>
                    <w:t xml:space="preserve">Abnormally lax or hyperextensible skin</w:t>
                  </w:r>
                </w:p>
              </w:tc>
              <w:tc>
                <w:tcPr/>
                <w:p>
                  <w:pPr>
                    <w:pStyle w:val="Compact"/>
                    <w:jc w:val="left"/>
                    <w:jc w:val="center"/>
                  </w:pPr>
                  <w:r>
                    <w:t xml:space="preserve">HP:0008067</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-0.94</w:t>
                  </w:r>
                </w:p>
              </w:tc>
            </w:tr>
            <w:tr>
              <w:tc>
                <w:tcPr/>
                <w:p>
                  <w:pPr>
                    <w:pStyle w:val="Compact"/>
                    <w:jc w:val="left"/>
                    <w:jc w:val="center"/>
                  </w:pPr>
                  <w:r>
                    <w:t xml:space="preserve">Adult-biased</w:t>
                  </w:r>
                </w:p>
              </w:tc>
              <w:tc>
                <w:tcPr/>
                <w:p>
                  <w:pPr>
                    <w:pStyle w:val="Compact"/>
                    <w:jc w:val="left"/>
                    <w:jc w:val="center"/>
                  </w:pPr>
                  <w:r>
                    <w:t xml:space="preserve">Reduced bone mineral density</w:t>
                  </w:r>
                </w:p>
              </w:tc>
              <w:tc>
                <w:tcPr/>
                <w:p>
                  <w:pPr>
                    <w:pStyle w:val="Compact"/>
                    <w:jc w:val="left"/>
                    <w:jc w:val="center"/>
                  </w:pPr>
                  <w:r>
                    <w:t xml:space="preserve">HP:0004349</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-0.94</w:t>
                  </w:r>
                </w:p>
              </w:tc>
            </w:tr>
            <w:tr>
              <w:tc>
                <w:tcPr/>
                <w:p>
                  <w:pPr>
                    <w:pStyle w:val="Compact"/>
                    <w:jc w:val="left"/>
                    <w:jc w:val="center"/>
                  </w:pPr>
                  <w:r>
                    <w:t xml:space="preserve">Adult-biased</w:t>
                  </w:r>
                </w:p>
              </w:tc>
              <w:tc>
                <w:tcPr/>
                <w:p>
                  <w:pPr>
                    <w:pStyle w:val="Compact"/>
                    <w:jc w:val="left"/>
                    <w:jc w:val="center"/>
                  </w:pPr>
                  <w:r>
                    <w:t xml:space="preserve">Paroxysmal supraventricular tachycardia</w:t>
                  </w:r>
                </w:p>
              </w:tc>
              <w:tc>
                <w:tcPr/>
                <w:p>
                  <w:pPr>
                    <w:pStyle w:val="Compact"/>
                    <w:jc w:val="left"/>
                    <w:jc w:val="center"/>
                  </w:pPr>
                  <w:r>
                    <w:t xml:space="preserve">HP:0004763</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-0.93</w:t>
                  </w:r>
                </w:p>
              </w:tc>
            </w:tr>
            <w:tr>
              <w:tc>
                <w:tcPr/>
                <w:p>
                  <w:pPr>
                    <w:pStyle w:val="Compact"/>
                    <w:jc w:val="left"/>
                    <w:jc w:val="center"/>
                  </w:pPr>
                  <w:r>
                    <w:t xml:space="preserve">Adult-biased</w:t>
                  </w:r>
                </w:p>
              </w:tc>
              <w:tc>
                <w:tcPr/>
                <w:p>
                  <w:pPr>
                    <w:pStyle w:val="Compact"/>
                    <w:jc w:val="left"/>
                    <w:jc w:val="center"/>
                  </w:pPr>
                  <w:r>
                    <w:t xml:space="preserve">Lack of skin elasticity</w:t>
                  </w:r>
                </w:p>
              </w:tc>
              <w:tc>
                <w:tcPr/>
                <w:p>
                  <w:pPr>
                    <w:pStyle w:val="Compact"/>
                    <w:jc w:val="left"/>
                    <w:jc w:val="center"/>
                  </w:pPr>
                  <w:r>
                    <w:t xml:space="preserve">HP:0100679</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-0.92</w:t>
                  </w:r>
                </w:p>
              </w:tc>
            </w:tr>
            <w:tr>
              <w:tc>
                <w:tcPr/>
                <w:p>
                  <w:pPr>
                    <w:pStyle w:val="Compact"/>
                    <w:jc w:val="left"/>
                    <w:jc w:val="center"/>
                  </w:pPr>
                  <w:r>
                    <w:t xml:space="preserve">Adult-biased</w:t>
                  </w:r>
                </w:p>
              </w:tc>
              <w:tc>
                <w:tcPr/>
                <w:p>
                  <w:pPr>
                    <w:pStyle w:val="Compact"/>
                    <w:jc w:val="left"/>
                    <w:jc w:val="center"/>
                  </w:pPr>
                  <w:r>
                    <w:t xml:space="preserve">Excessive wrinkled skin</w:t>
                  </w:r>
                </w:p>
              </w:tc>
              <w:tc>
                <w:tcPr/>
                <w:p>
                  <w:pPr>
                    <w:pStyle w:val="Compact"/>
                    <w:jc w:val="left"/>
                    <w:jc w:val="center"/>
                  </w:pPr>
                  <w:r>
                    <w:t xml:space="preserve">HP:0007392</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-0.91</w:t>
                  </w:r>
                </w:p>
              </w:tc>
            </w:tr>
            <w:tr>
              <w:tc>
                <w:tcPr/>
                <w:p>
                  <w:pPr>
                    <w:pStyle w:val="Compact"/>
                    <w:jc w:val="left"/>
                    <w:jc w:val="center"/>
                  </w:pPr>
                  <w:r>
                    <w:t xml:space="preserve">Adult-biased</w:t>
                  </w:r>
                </w:p>
              </w:tc>
              <w:tc>
                <w:tcPr/>
                <w:p>
                  <w:pPr>
                    <w:pStyle w:val="Compact"/>
                    <w:jc w:val="left"/>
                    <w:jc w:val="center"/>
                  </w:pPr>
                  <w:r>
                    <w:t xml:space="preserve">Bruising susceptibility</w:t>
                  </w:r>
                </w:p>
              </w:tc>
              <w:tc>
                <w:tcPr/>
                <w:p>
                  <w:pPr>
                    <w:pStyle w:val="Compact"/>
                    <w:jc w:val="left"/>
                    <w:jc w:val="center"/>
                  </w:pPr>
                  <w:r>
                    <w:t xml:space="preserve">HP:0000978</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-0.91</w:t>
                  </w:r>
                </w:p>
              </w:tc>
            </w:tr>
            <w:tr>
              <w:tc>
                <w:tcPr/>
                <w:p>
                  <w:pPr>
                    <w:pStyle w:val="Compact"/>
                    <w:jc w:val="left"/>
                    <w:jc w:val="center"/>
                  </w:pPr>
                  <w:r>
                    <w:t xml:space="preserve">Adult-biased</w:t>
                  </w:r>
                </w:p>
              </w:tc>
              <w:tc>
                <w:tcPr/>
                <w:p>
                  <w:pPr>
                    <w:pStyle w:val="Compact"/>
                    <w:jc w:val="left"/>
                    <w:jc w:val="center"/>
                  </w:pPr>
                  <w:r>
                    <w:t xml:space="preserve">Corneal opacity</w:t>
                  </w:r>
                </w:p>
              </w:tc>
              <w:tc>
                <w:tcPr/>
                <w:p>
                  <w:pPr>
                    <w:pStyle w:val="Compact"/>
                    <w:jc w:val="left"/>
                    <w:jc w:val="center"/>
                  </w:pPr>
                  <w:r>
                    <w:t xml:space="preserve">HP:0007957</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-0.90</w:t>
                  </w:r>
                </w:p>
              </w:tc>
            </w:tr>
            <w:tr>
              <w:tc>
                <w:tcPr/>
                <w:p>
                  <w:pPr>
                    <w:pStyle w:val="Compact"/>
                    <w:jc w:val="left"/>
                    <w:jc w:val="center"/>
                  </w:pPr>
                  <w:r>
                    <w:t xml:space="preserve">Adult-biased</w:t>
                  </w:r>
                </w:p>
              </w:tc>
              <w:tc>
                <w:tcPr/>
                <w:p>
                  <w:pPr>
                    <w:pStyle w:val="Compact"/>
                    <w:jc w:val="left"/>
                    <w:jc w:val="center"/>
                  </w:pPr>
                  <w:r>
                    <w:t xml:space="preserve">Broad skull</w:t>
                  </w:r>
                </w:p>
              </w:tc>
              <w:tc>
                <w:tcPr/>
                <w:p>
                  <w:pPr>
                    <w:pStyle w:val="Compact"/>
                    <w:jc w:val="left"/>
                    <w:jc w:val="center"/>
                  </w:pPr>
                  <w:r>
                    <w:t xml:space="preserve">HP:0002682</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-0.90</w:t>
                  </w:r>
                </w:p>
              </w:tc>
            </w:tr>
            <w:tr>
              <w:tc>
                <w:tcPr/>
                <w:p>
                  <w:pPr>
                    <w:pStyle w:val="Compact"/>
                    <w:jc w:val="left"/>
                    <w:jc w:val="center"/>
                  </w:pPr>
                  <w:r>
                    <w:t xml:space="preserve">Adult-biased</w:t>
                  </w:r>
                </w:p>
              </w:tc>
              <w:tc>
                <w:tcPr/>
                <w:p>
                  <w:pPr>
                    <w:pStyle w:val="Compact"/>
                    <w:jc w:val="left"/>
                    <w:jc w:val="center"/>
                  </w:pPr>
                  <w:r>
                    <w:t xml:space="preserve">Emphysema</w:t>
                  </w:r>
                </w:p>
              </w:tc>
              <w:tc>
                <w:tcPr/>
                <w:p>
                  <w:pPr>
                    <w:pStyle w:val="Compact"/>
                    <w:jc w:val="left"/>
                    <w:jc w:val="center"/>
                  </w:pPr>
                  <w:r>
                    <w:t xml:space="preserve">HP:0002097</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-0.89</w:t>
                  </w:r>
                </w:p>
              </w:tc>
            </w:tr>
          </w:tbl>
          <w:bookmarkEnd w:id="365"/>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6" w:name="tbl-ttd_hypergeo"/>
          <w:p>
            <w:pPr>
              <w:jc w:val="center"/>
            </w:pPr>
            <w:pPr>
              <w:jc w:val="left"/>
              <w:spacing w:before="200"/>
              <w:pStyle w:val="ImageCaption"/>
            </w:pPr>
            <w:r>
              <w:t xml:space="preserve">Table S11:</w:t>
            </w:r>
            <w:r>
              <w:t xml:space="preserve"> </w:t>
            </w:r>
            <w:r>
              <w:rPr>
                <w:b/>
                <w:bCs/>
              </w:rPr>
              <w:t xml:space="preserve">Hypergeometric test results evaluating the enrichment of existing therapy targets documented in the Therapeutic Target Database (TTD) amongst our prioritised targets.</w:t>
            </w:r>
            <w:r>
              <w:t xml:space="preserve"> </w:t>
            </w:r>
            <w:r>
              <w:t xml:space="preserve">Results are shown separately for gene therapies and all therapies.</w:t>
            </w:r>
            <w:r>
              <w:t xml:space="preserve"> </w:t>
            </w:r>
            <w:r>
              <w:t xml:space="preserve">Column keys: universe=gene universe size, p=hypergeometric test p-value, OR=odds ratio, NPV=negative predictive value, PPV=positive predictive value, FDR=false discovery rate, TP=true positives, FP=false positives, FN=false negatives, TN=true negatives.</w:t>
            </w:r>
          </w:p>
          <w:tbl>
            <w:tblPr>
              <w:tblStyle w:val="Table"/>
              <w:tblW w:type="pct" w:w="5000"/>
              <w:tblLayout w:type="fixed"/>
              <w:tblLook w:firstRow="1" w:lastRow="0" w:firstColumn="0" w:lastColumn="0" w:noHBand="0" w:noVBand="0" w:val="0020"/>
            </w:tblPr>
            <w:tblGrid>
              <w:gridCol w:w="1042"/>
              <w:gridCol w:w="694"/>
              <w:gridCol w:w="555"/>
              <w:gridCol w:w="625"/>
              <w:gridCol w:w="625"/>
              <w:gridCol w:w="347"/>
              <w:gridCol w:w="833"/>
              <w:gridCol w:w="833"/>
              <w:gridCol w:w="347"/>
              <w:gridCol w:w="347"/>
              <w:gridCol w:w="347"/>
              <w:gridCol w:w="277"/>
              <w:gridCol w:w="347"/>
              <w:gridCol w:w="347"/>
              <w:gridCol w:w="347"/>
            </w:tblGrid>
            <w:tr>
              <w:trPr>
                <w:tblHeader w:val="on"/>
              </w:trPr>
              <w:tc>
                <w:tcPr/>
                <w:p>
                  <w:pPr>
                    <w:pStyle w:val="Compact"/>
                    <w:jc w:val="left"/>
                    <w:jc w:val="center"/>
                  </w:pPr>
                  <w:r>
                    <w:t xml:space="preserve">Group</w:t>
                  </w:r>
                </w:p>
              </w:tc>
              <w:tc>
                <w:tcPr/>
                <w:p>
                  <w:pPr>
                    <w:pStyle w:val="Compact"/>
                    <w:jc w:val="left"/>
                    <w:jc w:val="center"/>
                  </w:pPr>
                  <w:r>
                    <w:t xml:space="preserve">status</w:t>
                  </w:r>
                </w:p>
              </w:tc>
              <w:tc>
                <w:tcPr/>
                <w:p>
                  <w:pPr>
                    <w:pStyle w:val="Compact"/>
                    <w:jc w:val="right"/>
                    <w:jc w:val="center"/>
                  </w:pPr>
                  <w:r>
                    <w:t xml:space="preserve">overlap</w:t>
                  </w:r>
                </w:p>
              </w:tc>
              <w:tc>
                <w:tcPr/>
                <w:p>
                  <w:pPr>
                    <w:pStyle w:val="Compact"/>
                    <w:jc w:val="right"/>
                    <w:jc w:val="center"/>
                  </w:pPr>
                  <w:r>
                    <w:t xml:space="preserve">universe</w:t>
                  </w:r>
                </w:p>
              </w:tc>
              <w:tc>
                <w:tcPr/>
                <w:p>
                  <w:pPr>
                    <w:pStyle w:val="Compact"/>
                    <w:jc w:val="left"/>
                    <w:jc w:val="center"/>
                  </w:pPr>
                  <w:r>
                    <w:t xml:space="preserve">p</w:t>
                  </w:r>
                </w:p>
              </w:tc>
              <w:tc>
                <w:tcPr/>
                <w:p>
                  <w:pPr>
                    <w:pStyle w:val="Compact"/>
                    <w:jc w:val="right"/>
                    <w:jc w:val="center"/>
                  </w:pPr>
                  <w:r>
                    <w:t xml:space="preserve">OR</w:t>
                  </w:r>
                </w:p>
              </w:tc>
              <w:tc>
                <w:tcPr/>
                <w:p>
                  <w:pPr>
                    <w:pStyle w:val="Compact"/>
                    <w:jc w:val="right"/>
                    <w:jc w:val="center"/>
                  </w:pPr>
                  <w:r>
                    <w:t xml:space="preserve">sensitivity</w:t>
                  </w:r>
                </w:p>
              </w:tc>
              <w:tc>
                <w:tcPr/>
                <w:p>
                  <w:pPr>
                    <w:pStyle w:val="Compact"/>
                    <w:jc w:val="right"/>
                    <w:jc w:val="center"/>
                  </w:pPr>
                  <w:r>
                    <w:t xml:space="preserve">specificity</w:t>
                  </w:r>
                </w:p>
              </w:tc>
              <w:tc>
                <w:tcPr/>
                <w:p>
                  <w:pPr>
                    <w:pStyle w:val="Compact"/>
                    <w:jc w:val="right"/>
                    <w:jc w:val="center"/>
                  </w:pPr>
                  <w:r>
                    <w:t xml:space="preserve">PPV</w:t>
                  </w:r>
                </w:p>
              </w:tc>
              <w:tc>
                <w:tcPr/>
                <w:p>
                  <w:pPr>
                    <w:pStyle w:val="Compact"/>
                    <w:jc w:val="right"/>
                    <w:jc w:val="center"/>
                  </w:pPr>
                  <w:r>
                    <w:t xml:space="preserve">NPV</w:t>
                  </w:r>
                </w:p>
              </w:tc>
              <w:tc>
                <w:tcPr/>
                <w:p>
                  <w:pPr>
                    <w:pStyle w:val="Compact"/>
                    <w:jc w:val="right"/>
                    <w:jc w:val="center"/>
                  </w:pPr>
                  <w:r>
                    <w:t xml:space="preserve">FDR</w:t>
                  </w:r>
                </w:p>
              </w:tc>
              <w:tc>
                <w:tcPr/>
                <w:p>
                  <w:pPr>
                    <w:pStyle w:val="Compact"/>
                    <w:jc w:val="right"/>
                    <w:jc w:val="center"/>
                  </w:pPr>
                  <w:r>
                    <w:t xml:space="preserve">TP</w:t>
                  </w:r>
                </w:p>
              </w:tc>
              <w:tc>
                <w:tcPr/>
                <w:p>
                  <w:pPr>
                    <w:pStyle w:val="Compact"/>
                    <w:jc w:val="right"/>
                    <w:jc w:val="center"/>
                  </w:pPr>
                  <w:r>
                    <w:t xml:space="preserve">FP</w:t>
                  </w:r>
                </w:p>
              </w:tc>
              <w:tc>
                <w:tcPr/>
                <w:p>
                  <w:pPr>
                    <w:pStyle w:val="Compact"/>
                    <w:jc w:val="right"/>
                    <w:jc w:val="center"/>
                  </w:pPr>
                  <w:r>
                    <w:t xml:space="preserve">FN</w:t>
                  </w:r>
                </w:p>
              </w:tc>
              <w:tc>
                <w:tcPr/>
                <w:p>
                  <w:pPr>
                    <w:pStyle w:val="Compact"/>
                    <w:jc w:val="right"/>
                    <w:jc w:val="center"/>
                  </w:pPr>
                  <w:r>
                    <w:t xml:space="preserve">TN</w:t>
                  </w:r>
                </w:p>
              </w:tc>
            </w:tr>
            <w:tr>
              <w:tc>
                <w:tcPr/>
                <w:p>
                  <w:pPr>
                    <w:pStyle w:val="Compact"/>
                    <w:jc w:val="left"/>
                    <w:jc w:val="center"/>
                  </w:pPr>
                  <w:r>
                    <w:t xml:space="preserve">Gene therapies</w:t>
                  </w:r>
                </w:p>
              </w:tc>
              <w:tc>
                <w:tcPr/>
                <w:p>
                  <w:pPr>
                    <w:pStyle w:val="Compact"/>
                    <w:jc w:val="left"/>
                    <w:jc w:val="center"/>
                  </w:pPr>
                  <w:r>
                    <w:t xml:space="preserve">nonfailed</w:t>
                  </w:r>
                </w:p>
              </w:tc>
              <w:tc>
                <w:tcPr/>
                <w:p>
                  <w:pPr>
                    <w:pStyle w:val="Compact"/>
                    <w:jc w:val="right"/>
                    <w:jc w:val="center"/>
                  </w:pPr>
                  <w:r>
                    <w:t xml:space="preserve">65</w:t>
                  </w:r>
                </w:p>
              </w:tc>
              <w:tc>
                <w:tcPr/>
                <w:p>
                  <w:pPr>
                    <w:pStyle w:val="Compact"/>
                    <w:jc w:val="right"/>
                    <w:jc w:val="center"/>
                  </w:pPr>
                  <w:r>
                    <w:t xml:space="preserve">5013</w:t>
                  </w:r>
                </w:p>
              </w:tc>
              <w:tc>
                <w:tcPr/>
                <w:p>
                  <w:pPr>
                    <w:pStyle w:val="Compact"/>
                    <w:jc w:val="left"/>
                    <w:jc w:val="center"/>
                  </w:pPr>
                  <w:r>
                    <w:t xml:space="preserve">5.56e-05</w:t>
                  </w:r>
                </w:p>
              </w:tc>
              <w:tc>
                <w:tcPr/>
                <w:p>
                  <w:pPr>
                    <w:pStyle w:val="Compact"/>
                    <w:jc w:val="right"/>
                    <w:jc w:val="center"/>
                  </w:pPr>
                  <w:r>
                    <w:t xml:space="preserve">3.00</w:t>
                  </w:r>
                </w:p>
              </w:tc>
              <w:tc>
                <w:tcPr/>
                <w:p>
                  <w:pPr>
                    <w:pStyle w:val="Compact"/>
                    <w:jc w:val="right"/>
                    <w:jc w:val="center"/>
                  </w:pPr>
                  <w:r>
                    <w:t xml:space="preserve">0.83</w:t>
                  </w:r>
                </w:p>
              </w:tc>
              <w:tc>
                <w:tcPr/>
                <w:p>
                  <w:pPr>
                    <w:pStyle w:val="Compact"/>
                    <w:jc w:val="right"/>
                    <w:jc w:val="center"/>
                  </w:pPr>
                  <w:r>
                    <w:t xml:space="preserve">0.38</w:t>
                  </w:r>
                </w:p>
              </w:tc>
              <w:tc>
                <w:tcPr/>
                <w:p>
                  <w:pPr>
                    <w:pStyle w:val="Compact"/>
                    <w:jc w:val="right"/>
                    <w:jc w:val="center"/>
                  </w:pPr>
                  <w:r>
                    <w:t xml:space="preserve">0.02</w:t>
                  </w:r>
                </w:p>
              </w:tc>
              <w:tc>
                <w:tcPr/>
                <w:p>
                  <w:pPr>
                    <w:pStyle w:val="Compact"/>
                    <w:jc w:val="right"/>
                    <w:jc w:val="center"/>
                  </w:pPr>
                  <w:r>
                    <w:t xml:space="preserve">0.99</w:t>
                  </w:r>
                </w:p>
              </w:tc>
              <w:tc>
                <w:tcPr/>
                <w:p>
                  <w:pPr>
                    <w:pStyle w:val="Compact"/>
                    <w:jc w:val="right"/>
                    <w:jc w:val="center"/>
                  </w:pPr>
                  <w:r>
                    <w:t xml:space="preserve">0.98</w:t>
                  </w:r>
                </w:p>
              </w:tc>
              <w:tc>
                <w:tcPr/>
                <w:p>
                  <w:pPr>
                    <w:pStyle w:val="Compact"/>
                    <w:jc w:val="right"/>
                    <w:jc w:val="center"/>
                  </w:pPr>
                  <w:r>
                    <w:t xml:space="preserve">65</w:t>
                  </w:r>
                </w:p>
              </w:tc>
              <w:tc>
                <w:tcPr/>
                <w:p>
                  <w:pPr>
                    <w:pStyle w:val="Compact"/>
                    <w:jc w:val="right"/>
                    <w:jc w:val="center"/>
                  </w:pPr>
                  <w:r>
                    <w:t xml:space="preserve">3083</w:t>
                  </w:r>
                </w:p>
              </w:tc>
              <w:tc>
                <w:tcPr/>
                <w:p>
                  <w:pPr>
                    <w:pStyle w:val="Compact"/>
                    <w:jc w:val="right"/>
                    <w:jc w:val="center"/>
                  </w:pPr>
                  <w:r>
                    <w:t xml:space="preserve">13</w:t>
                  </w:r>
                </w:p>
              </w:tc>
              <w:tc>
                <w:tcPr/>
                <w:p>
                  <w:pPr>
                    <w:pStyle w:val="Compact"/>
                    <w:jc w:val="right"/>
                    <w:jc w:val="center"/>
                  </w:pPr>
                  <w:r>
                    <w:t xml:space="preserve">1852</w:t>
                  </w:r>
                </w:p>
              </w:tc>
            </w:tr>
            <w:tr>
              <w:tc>
                <w:tcPr/>
                <w:p>
                  <w:pPr>
                    <w:pStyle w:val="Compact"/>
                    <w:jc w:val="left"/>
                    <w:jc w:val="center"/>
                  </w:pPr>
                  <w:r>
                    <w:t xml:space="preserve">Gene therapies</w:t>
                  </w:r>
                </w:p>
              </w:tc>
              <w:tc>
                <w:tcPr/>
                <w:p>
                  <w:pPr>
                    <w:pStyle w:val="Compact"/>
                    <w:jc w:val="left"/>
                    <w:jc w:val="center"/>
                  </w:pPr>
                  <w:r>
                    <w:t xml:space="preserve">failed</w:t>
                  </w:r>
                </w:p>
              </w:tc>
              <w:tc>
                <w:tcPr/>
                <w:p>
                  <w:pPr>
                    <w:pStyle w:val="Compact"/>
                    <w:jc w:val="right"/>
                    <w:jc w:val="center"/>
                  </w:pPr>
                  <w:r>
                    <w:t xml:space="preserve">0</w:t>
                  </w:r>
                </w:p>
              </w:tc>
              <w:tc>
                <w:tcPr/>
                <w:p>
                  <w:pPr>
                    <w:pStyle w:val="Compact"/>
                    <w:jc w:val="right"/>
                    <w:jc w:val="center"/>
                  </w:pPr>
                  <w:r>
                    <w:t xml:space="preserve">5013</w:t>
                  </w:r>
                </w:p>
              </w:tc>
              <w:tc>
                <w:tcPr/>
                <w:p>
                  <w:pPr>
                    <w:pStyle w:val="Compact"/>
                    <w:jc w:val="left"/>
                    <w:jc w:val="center"/>
                  </w:pPr>
                  <w:r>
                    <w:t xml:space="preserve">1.00e+00</w:t>
                  </w:r>
                </w:p>
              </w:tc>
              <w:tc>
                <w:tcPr/>
                <w:p>
                  <w:pPr>
                    <w:pStyle w:val="Compact"/>
                    <w:jc w:val="right"/>
                    <w:jc w:val="center"/>
                  </w:pPr>
                  <w:r>
                    <w:t xml:space="preserve">0.00</w:t>
                  </w:r>
                </w:p>
              </w:tc>
              <w:tc>
                <w:tcPr/>
                <w:p>
                  <w:pPr>
                    <w:pStyle w:val="Compact"/>
                    <w:jc w:val="right"/>
                    <w:jc w:val="center"/>
                  </w:pPr>
                  <w:r>
                    <w:t xml:space="preserve">NaN</w:t>
                  </w:r>
                </w:p>
              </w:tc>
              <w:tc>
                <w:tcPr/>
                <w:p>
                  <w:pPr>
                    <w:pStyle w:val="Compact"/>
                    <w:jc w:val="right"/>
                    <w:jc w:val="center"/>
                  </w:pPr>
                  <w:r>
                    <w:t xml:space="preserve">0.37</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3148</w:t>
                  </w:r>
                </w:p>
              </w:tc>
              <w:tc>
                <w:tcPr/>
                <w:p>
                  <w:pPr>
                    <w:pStyle w:val="Compact"/>
                    <w:jc w:val="right"/>
                    <w:jc w:val="center"/>
                  </w:pPr>
                  <w:r>
                    <w:t xml:space="preserve">0</w:t>
                  </w:r>
                </w:p>
              </w:tc>
              <w:tc>
                <w:tcPr/>
                <w:p>
                  <w:pPr>
                    <w:pStyle w:val="Compact"/>
                    <w:jc w:val="right"/>
                    <w:jc w:val="center"/>
                  </w:pPr>
                  <w:r>
                    <w:t xml:space="preserve">1865</w:t>
                  </w:r>
                </w:p>
              </w:tc>
            </w:tr>
            <w:tr>
              <w:tc>
                <w:tcPr/>
                <w:p>
                  <w:pPr>
                    <w:pStyle w:val="Compact"/>
                    <w:jc w:val="left"/>
                    <w:jc w:val="center"/>
                  </w:pPr>
                  <w:r>
                    <w:t xml:space="preserve">All therapies</w:t>
                  </w:r>
                </w:p>
              </w:tc>
              <w:tc>
                <w:tcPr/>
                <w:p>
                  <w:pPr>
                    <w:pStyle w:val="Compact"/>
                    <w:jc w:val="left"/>
                    <w:jc w:val="center"/>
                  </w:pPr>
                  <w:r>
                    <w:t xml:space="preserve">nonfailed</w:t>
                  </w:r>
                </w:p>
              </w:tc>
              <w:tc>
                <w:tcPr/>
                <w:p>
                  <w:pPr>
                    <w:pStyle w:val="Compact"/>
                    <w:jc w:val="right"/>
                    <w:jc w:val="center"/>
                  </w:pPr>
                  <w:r>
                    <w:t xml:space="preserve">591</w:t>
                  </w:r>
                </w:p>
              </w:tc>
              <w:tc>
                <w:tcPr/>
                <w:p>
                  <w:pPr>
                    <w:pStyle w:val="Compact"/>
                    <w:jc w:val="right"/>
                    <w:jc w:val="center"/>
                  </w:pPr>
                  <w:r>
                    <w:t xml:space="preserve">6432</w:t>
                  </w:r>
                </w:p>
              </w:tc>
              <w:tc>
                <w:tcPr/>
                <w:p>
                  <w:pPr>
                    <w:pStyle w:val="Compact"/>
                    <w:jc w:val="left"/>
                    <w:jc w:val="center"/>
                  </w:pPr>
                  <w:r>
                    <w:t xml:space="preserve">1.00e+00</w:t>
                  </w:r>
                </w:p>
              </w:tc>
              <w:tc>
                <w:tcPr/>
                <w:p>
                  <w:pPr>
                    <w:pStyle w:val="Compact"/>
                    <w:jc w:val="right"/>
                    <w:jc w:val="center"/>
                  </w:pPr>
                  <w:r>
                    <w:t xml:space="preserve">0.23</w:t>
                  </w:r>
                </w:p>
              </w:tc>
              <w:tc>
                <w:tcPr/>
                <w:p>
                  <w:pPr>
                    <w:pStyle w:val="Compact"/>
                    <w:jc w:val="right"/>
                    <w:jc w:val="center"/>
                  </w:pPr>
                  <w:r>
                    <w:t xml:space="preserve">0.26</w:t>
                  </w:r>
                </w:p>
              </w:tc>
              <w:tc>
                <w:tcPr/>
                <w:p>
                  <w:pPr>
                    <w:pStyle w:val="Compact"/>
                    <w:jc w:val="right"/>
                    <w:jc w:val="center"/>
                  </w:pPr>
                  <w:r>
                    <w:t xml:space="preserve">0.39</w:t>
                  </w:r>
                </w:p>
              </w:tc>
              <w:tc>
                <w:tcPr/>
                <w:p>
                  <w:pPr>
                    <w:pStyle w:val="Compact"/>
                    <w:jc w:val="right"/>
                    <w:jc w:val="center"/>
                  </w:pPr>
                  <w:r>
                    <w:t xml:space="preserve">0.19</w:t>
                  </w:r>
                </w:p>
              </w:tc>
              <w:tc>
                <w:tcPr/>
                <w:p>
                  <w:pPr>
                    <w:pStyle w:val="Compact"/>
                    <w:jc w:val="right"/>
                    <w:jc w:val="center"/>
                  </w:pPr>
                  <w:r>
                    <w:t xml:space="preserve">0.49</w:t>
                  </w:r>
                </w:p>
              </w:tc>
              <w:tc>
                <w:tcPr/>
                <w:p>
                  <w:pPr>
                    <w:pStyle w:val="Compact"/>
                    <w:jc w:val="right"/>
                    <w:jc w:val="center"/>
                  </w:pPr>
                  <w:r>
                    <w:t xml:space="preserve">0.81</w:t>
                  </w:r>
                </w:p>
              </w:tc>
              <w:tc>
                <w:tcPr/>
                <w:p>
                  <w:pPr>
                    <w:pStyle w:val="Compact"/>
                    <w:jc w:val="right"/>
                    <w:jc w:val="center"/>
                  </w:pPr>
                  <w:r>
                    <w:t xml:space="preserve">591</w:t>
                  </w:r>
                </w:p>
              </w:tc>
              <w:tc>
                <w:tcPr/>
                <w:p>
                  <w:pPr>
                    <w:pStyle w:val="Compact"/>
                    <w:jc w:val="right"/>
                    <w:jc w:val="center"/>
                  </w:pPr>
                  <w:r>
                    <w:t xml:space="preserve">2557</w:t>
                  </w:r>
                </w:p>
              </w:tc>
              <w:tc>
                <w:tcPr/>
                <w:p>
                  <w:pPr>
                    <w:pStyle w:val="Compact"/>
                    <w:jc w:val="right"/>
                    <w:jc w:val="center"/>
                  </w:pPr>
                  <w:r>
                    <w:t xml:space="preserve">1664</w:t>
                  </w:r>
                </w:p>
              </w:tc>
              <w:tc>
                <w:tcPr/>
                <w:p>
                  <w:pPr>
                    <w:pStyle w:val="Compact"/>
                    <w:jc w:val="right"/>
                    <w:jc w:val="center"/>
                  </w:pPr>
                  <w:r>
                    <w:t xml:space="preserve">1620</w:t>
                  </w:r>
                </w:p>
              </w:tc>
            </w:tr>
            <w:tr>
              <w:tc>
                <w:tcPr/>
                <w:p>
                  <w:pPr>
                    <w:pStyle w:val="Compact"/>
                    <w:jc w:val="left"/>
                    <w:jc w:val="center"/>
                  </w:pPr>
                  <w:r>
                    <w:t xml:space="preserve">All therapies</w:t>
                  </w:r>
                </w:p>
              </w:tc>
              <w:tc>
                <w:tcPr/>
                <w:p>
                  <w:pPr>
                    <w:pStyle w:val="Compact"/>
                    <w:jc w:val="left"/>
                    <w:jc w:val="center"/>
                  </w:pPr>
                  <w:r>
                    <w:t xml:space="preserve">failed</w:t>
                  </w:r>
                </w:p>
              </w:tc>
              <w:tc>
                <w:tcPr/>
                <w:p>
                  <w:pPr>
                    <w:pStyle w:val="Compact"/>
                    <w:jc w:val="right"/>
                    <w:jc w:val="center"/>
                  </w:pPr>
                  <w:r>
                    <w:t xml:space="preserve">125</w:t>
                  </w:r>
                </w:p>
              </w:tc>
              <w:tc>
                <w:tcPr/>
                <w:p>
                  <w:pPr>
                    <w:pStyle w:val="Compact"/>
                    <w:jc w:val="right"/>
                    <w:jc w:val="center"/>
                  </w:pPr>
                  <w:r>
                    <w:t xml:space="preserve">6432</w:t>
                  </w:r>
                </w:p>
              </w:tc>
              <w:tc>
                <w:tcPr/>
                <w:p>
                  <w:pPr>
                    <w:pStyle w:val="Compact"/>
                    <w:jc w:val="left"/>
                    <w:jc w:val="center"/>
                  </w:pPr>
                  <w:r>
                    <w:t xml:space="preserve">4.44e-23</w:t>
                  </w:r>
                </w:p>
              </w:tc>
              <w:tc>
                <w:tcPr/>
                <w:p>
                  <w:pPr>
                    <w:pStyle w:val="Compact"/>
                    <w:jc w:val="right"/>
                    <w:jc w:val="center"/>
                  </w:pPr>
                  <w:r>
                    <w:t xml:space="preserve">0.36</w:t>
                  </w:r>
                </w:p>
              </w:tc>
              <w:tc>
                <w:tcPr/>
                <w:p>
                  <w:pPr>
                    <w:pStyle w:val="Compact"/>
                    <w:jc w:val="right"/>
                    <w:jc w:val="center"/>
                  </w:pPr>
                  <w:r>
                    <w:t xml:space="preserve">0.27</w:t>
                  </w:r>
                </w:p>
              </w:tc>
              <w:tc>
                <w:tcPr/>
                <w:p>
                  <w:pPr>
                    <w:pStyle w:val="Compact"/>
                    <w:jc w:val="right"/>
                    <w:jc w:val="center"/>
                  </w:pPr>
                  <w:r>
                    <w:t xml:space="preserve">0.49</w:t>
                  </w:r>
                </w:p>
              </w:tc>
              <w:tc>
                <w:tcPr/>
                <w:p>
                  <w:pPr>
                    <w:pStyle w:val="Compact"/>
                    <w:jc w:val="right"/>
                    <w:jc w:val="center"/>
                  </w:pPr>
                  <w:r>
                    <w:t xml:space="preserve">0.04</w:t>
                  </w:r>
                </w:p>
              </w:tc>
              <w:tc>
                <w:tcPr/>
                <w:p>
                  <w:pPr>
                    <w:pStyle w:val="Compact"/>
                    <w:jc w:val="right"/>
                    <w:jc w:val="center"/>
                  </w:pPr>
                  <w:r>
                    <w:t xml:space="preserve">0.90</w:t>
                  </w:r>
                </w:p>
              </w:tc>
              <w:tc>
                <w:tcPr/>
                <w:p>
                  <w:pPr>
                    <w:pStyle w:val="Compact"/>
                    <w:jc w:val="right"/>
                    <w:jc w:val="center"/>
                  </w:pPr>
                  <w:r>
                    <w:t xml:space="preserve">0.96</w:t>
                  </w:r>
                </w:p>
              </w:tc>
              <w:tc>
                <w:tcPr/>
                <w:p>
                  <w:pPr>
                    <w:pStyle w:val="Compact"/>
                    <w:jc w:val="right"/>
                    <w:jc w:val="center"/>
                  </w:pPr>
                  <w:r>
                    <w:t xml:space="preserve">125</w:t>
                  </w:r>
                </w:p>
              </w:tc>
              <w:tc>
                <w:tcPr/>
                <w:p>
                  <w:pPr>
                    <w:pStyle w:val="Compact"/>
                    <w:jc w:val="right"/>
                    <w:jc w:val="center"/>
                  </w:pPr>
                  <w:r>
                    <w:t xml:space="preserve">3023</w:t>
                  </w:r>
                </w:p>
              </w:tc>
              <w:tc>
                <w:tcPr/>
                <w:p>
                  <w:pPr>
                    <w:pStyle w:val="Compact"/>
                    <w:jc w:val="right"/>
                    <w:jc w:val="center"/>
                  </w:pPr>
                  <w:r>
                    <w:t xml:space="preserve">335</w:t>
                  </w:r>
                </w:p>
              </w:tc>
              <w:tc>
                <w:tcPr/>
                <w:p>
                  <w:pPr>
                    <w:pStyle w:val="Compact"/>
                    <w:jc w:val="right"/>
                    <w:jc w:val="center"/>
                  </w:pPr>
                  <w:r>
                    <w:t xml:space="preserve">2949</w:t>
                  </w:r>
                </w:p>
              </w:tc>
            </w:tr>
          </w:tbl>
          <w:bookmarkEnd w:id="366"/>
          <w:p/>
        </w:tc>
      </w:tr>
    </w:tbl>
    <w:bookmarkEnd w:id="3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281" Target="media/rId281.png" /><Relationship Type="http://schemas.openxmlformats.org/officeDocument/2006/relationships/image" Id="rId351" Target="media/rId351.png" /><Relationship Type="http://schemas.openxmlformats.org/officeDocument/2006/relationships/image" Id="rId347" Target="media/rId347.png" /><Relationship Type="http://schemas.openxmlformats.org/officeDocument/2006/relationships/image" Id="rId331" Target="media/rId331.png" /><Relationship Type="http://schemas.openxmlformats.org/officeDocument/2006/relationships/image" Id="rId335" Target="media/rId335.png" /><Relationship Type="http://schemas.openxmlformats.org/officeDocument/2006/relationships/image" Id="rId343" Target="media/rId343.png" /><Relationship Type="http://schemas.openxmlformats.org/officeDocument/2006/relationships/image" Id="rId327" Target="media/rId327.png" /><Relationship Type="http://schemas.openxmlformats.org/officeDocument/2006/relationships/image" Id="rId339" Target="media/rId339.png" /><Relationship Type="http://schemas.openxmlformats.org/officeDocument/2006/relationships/image" Id="rId26" Target="media/rId26.png" /><Relationship Type="http://schemas.openxmlformats.org/officeDocument/2006/relationships/image" Id="rId315" Target="media/rId315.png" /><Relationship Type="http://schemas.openxmlformats.org/officeDocument/2006/relationships/image" Id="rId297" Target="media/rId297.png" /><Relationship Type="http://schemas.openxmlformats.org/officeDocument/2006/relationships/image" Id="rId95" Target="media/rId95.png" /><Relationship Type="http://schemas.openxmlformats.org/officeDocument/2006/relationships/image" Id="rId102" Target="media/rId102.png" /><Relationship Type="http://schemas.openxmlformats.org/officeDocument/2006/relationships/image" Id="rId285" Target="media/rId285.png" /><Relationship Type="http://schemas.openxmlformats.org/officeDocument/2006/relationships/image" Id="rId275" Target="media/rId275.png" /><Relationship Type="http://schemas.openxmlformats.org/officeDocument/2006/relationships/image" Id="rId291" Target="media/rId291.png" /><Relationship Type="http://schemas.openxmlformats.org/officeDocument/2006/relationships/image" Id="rId88" Target="media/rId88.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66" Target="media/rId66.png" /><Relationship Type="http://schemas.openxmlformats.org/officeDocument/2006/relationships/image" Id="rId117" Target="media/rId117.png" /><Relationship Type="http://schemas.openxmlformats.org/officeDocument/2006/relationships/image" Id="rId321" Target="media/rId321.png" /><Relationship Type="http://schemas.openxmlformats.org/officeDocument/2006/relationships/image" Id="rId303" Target="media/rId303.png" /><Relationship Type="http://schemas.openxmlformats.org/officeDocument/2006/relationships/image" Id="rId110" Target="media/rId110.png" /><Relationship Type="http://schemas.openxmlformats.org/officeDocument/2006/relationships/image" Id="rId309" Target="media/rId309.png" /><Relationship Type="http://schemas.openxmlformats.org/officeDocument/2006/relationships/hyperlink" Id="rId138" Target="http://db.idrblab.net/ttd/" TargetMode="External" /><Relationship Type="http://schemas.openxmlformats.org/officeDocument/2006/relationships/hyperlink" Id="rId133" Target="https://cellxgene.cziscience.com/collections/38833785-fac5-48fd-944a-0f62a4c23ed1" TargetMode="External" /><Relationship Type="http://schemas.openxmlformats.org/officeDocument/2006/relationships/hyperlink" Id="rId132" Target="https://cellxgene.cziscience.com/collections/c114c20f-1ef4-49a5-9c2e-d965787fb90c" TargetMode="External" /><Relationship Type="http://schemas.openxmlformats.org/officeDocument/2006/relationships/hyperlink" Id="rId139" Target="https://cellxgene.cziscience.com/gene-expression?genes=C5%2CCFI%2CC8B%2CCFB%2CMBL2%2CAPOE&amp;cellTypes=hepatoblast%2Chepatocyte&amp;ver=2" TargetMode="External" /><Relationship Type="http://schemas.openxmlformats.org/officeDocument/2006/relationships/hyperlink" Id="rId265" Target="https://doi.org/10.1002/mgg3.37" TargetMode="External" /><Relationship Type="http://schemas.openxmlformats.org/officeDocument/2006/relationships/hyperlink" Id="rId218" Target="https://doi.org/10.1016/0005-2736(85)90141-5" TargetMode="External" /><Relationship Type="http://schemas.openxmlformats.org/officeDocument/2006/relationships/hyperlink" Id="rId214" Target="https://doi.org/10.1016/B978-0-323-05594-9.00006-4" TargetMode="External" /><Relationship Type="http://schemas.openxmlformats.org/officeDocument/2006/relationships/hyperlink" Id="rId230" Target="https://doi.org/10.1016/j.ajhg.2018.08.017" TargetMode="External" /><Relationship Type="http://schemas.openxmlformats.org/officeDocument/2006/relationships/hyperlink" Id="rId222" Target="https://doi.org/10.1016/j.jmb.2019.01.016" TargetMode="External" /><Relationship Type="http://schemas.openxmlformats.org/officeDocument/2006/relationships/hyperlink" Id="rId232" Target="https://doi.org/10.1016/j.neuron.2025.10.001" TargetMode="External" /><Relationship Type="http://schemas.openxmlformats.org/officeDocument/2006/relationships/hyperlink" Id="rId168" Target="https://doi.org/10.1016/j.omtm.2024.101185" TargetMode="External" /><Relationship Type="http://schemas.openxmlformats.org/officeDocument/2006/relationships/hyperlink" Id="rId208" Target="https://doi.org/10.1038/d41573-022-00120-3" TargetMode="External" /><Relationship Type="http://schemas.openxmlformats.org/officeDocument/2006/relationships/hyperlink" Id="rId206" Target="https://doi.org/10.1038/ng.3314" TargetMode="External" /><Relationship Type="http://schemas.openxmlformats.org/officeDocument/2006/relationships/hyperlink" Id="rId245" Target="https://doi.org/10.1038/s41467-019-12780-8" TargetMode="External" /><Relationship Type="http://schemas.openxmlformats.org/officeDocument/2006/relationships/hyperlink" Id="rId236" Target="https://doi.org/10.1038/s41467-020-19111-2" TargetMode="External" /><Relationship Type="http://schemas.openxmlformats.org/officeDocument/2006/relationships/hyperlink" Id="rId201" Target="https://doi.org/10.1038/s41556-022-00989-7" TargetMode="External" /><Relationship Type="http://schemas.openxmlformats.org/officeDocument/2006/relationships/hyperlink" Id="rId224" Target="https://doi.org/10.1038/s41582-022-00633-w" TargetMode="External" /><Relationship Type="http://schemas.openxmlformats.org/officeDocument/2006/relationships/hyperlink" Id="rId210" Target="https://doi.org/10.1038/s41586-024-07316-0" TargetMode="External" /><Relationship Type="http://schemas.openxmlformats.org/officeDocument/2006/relationships/hyperlink" Id="rId234" Target="https://doi.org/10.1038/s41588-020-0610-9" TargetMode="External" /><Relationship Type="http://schemas.openxmlformats.org/officeDocument/2006/relationships/hyperlink" Id="rId247" Target="https://doi.org/10.1038/s41598-021-95122-3" TargetMode="External" /><Relationship Type="http://schemas.openxmlformats.org/officeDocument/2006/relationships/hyperlink" Id="rId243" Target="https://doi.org/10.1093/brain/awab446" TargetMode="External" /><Relationship Type="http://schemas.openxmlformats.org/officeDocument/2006/relationships/hyperlink" Id="rId249" Target="https://doi.org/10.1093/jnci/djad043" TargetMode="External" /><Relationship Type="http://schemas.openxmlformats.org/officeDocument/2006/relationships/hyperlink" Id="rId226" Target="https://doi.org/10.1101/2020.10.27.356113" TargetMode="External" /><Relationship Type="http://schemas.openxmlformats.org/officeDocument/2006/relationships/hyperlink" Id="rId199" Target="https://doi.org/10.1101/gr.175501" TargetMode="External" /><Relationship Type="http://schemas.openxmlformats.org/officeDocument/2006/relationships/hyperlink" Id="rId178" Target="https://doi.org/10.1177/0962280209351908" TargetMode="External" /><Relationship Type="http://schemas.openxmlformats.org/officeDocument/2006/relationships/hyperlink" Id="rId220" Target="https://doi.org/10.1186/s12974-020-01947-6" TargetMode="External" /><Relationship Type="http://schemas.openxmlformats.org/officeDocument/2006/relationships/hyperlink" Id="rId176" Target="https://doi.org/10.1186/s13040-018-0166-8" TargetMode="External" /><Relationship Type="http://schemas.openxmlformats.org/officeDocument/2006/relationships/hyperlink" Id="rId228" Target="https://doi.org/10.1186/s13059-016-1107-9" TargetMode="External" /><Relationship Type="http://schemas.openxmlformats.org/officeDocument/2006/relationships/hyperlink" Id="rId172" Target="https://doi.org/10.3389/fdgth.2026.1794934" TargetMode="External" /><Relationship Type="http://schemas.openxmlformats.org/officeDocument/2006/relationships/hyperlink" Id="rId180" Target="https://doi.org/10.3389/fgene.2020.00654" TargetMode="External" /><Relationship Type="http://schemas.openxmlformats.org/officeDocument/2006/relationships/hyperlink" Id="rId238" Target="https://doi.org/10.3389/fimmu.2023.1168539" TargetMode="External" /><Relationship Type="http://schemas.openxmlformats.org/officeDocument/2006/relationships/hyperlink" Id="rId170" Target="https://doi.org/10.3389/fnmol.2020.618020" TargetMode="External" /><Relationship Type="http://schemas.openxmlformats.org/officeDocument/2006/relationships/hyperlink" Id="rId263" Target="https://doi.org/10.3389/fphys.2018.01663" TargetMode="External" /><Relationship Type="http://schemas.openxmlformats.org/officeDocument/2006/relationships/hyperlink" Id="rId251" Target="https://doi.org/10.3390/cells9102267" TargetMode="External" /><Relationship Type="http://schemas.openxmlformats.org/officeDocument/2006/relationships/hyperlink" Id="rId216" Target="https://doi.org/10.3390/ijms21031063" TargetMode="External" /><Relationship Type="http://schemas.openxmlformats.org/officeDocument/2006/relationships/hyperlink" Id="rId212" Target="https://doi.org/10.3390/ijms22094534" TargetMode="External" /><Relationship Type="http://schemas.openxmlformats.org/officeDocument/2006/relationships/hyperlink" Id="rId204" Target="https://doi.org/10.48550/arXiv.2102.12092" TargetMode="External" /><Relationship Type="http://schemas.openxmlformats.org/officeDocument/2006/relationships/hyperlink" Id="rId261" Target="https://doi.org/10.5281/zenodo.15147825" TargetMode="External" /><Relationship Type="http://schemas.openxmlformats.org/officeDocument/2006/relationships/hyperlink" Id="rId22" Target="https://github.com/neurogenomics/HPOExplorer" TargetMode="External" /><Relationship Type="http://schemas.openxmlformats.org/officeDocument/2006/relationships/hyperlink" Id="rId62" Target="https://github.com/neurogenomics/HPOExplorer/releases/tag/latest" TargetMode="External" /><Relationship Type="http://schemas.openxmlformats.org/officeDocument/2006/relationships/hyperlink" Id="rId21" Target="https://github.com/neurogenomics/KGExplorer" TargetMode="External" /><Relationship Type="http://schemas.openxmlformats.org/officeDocument/2006/relationships/hyperlink" Id="rId23" Target="https://github.com/neurogenomics/MSTExplorer" TargetMode="External" /><Relationship Type="http://schemas.openxmlformats.org/officeDocument/2006/relationships/hyperlink" Id="rId134" Target="https://github.com/neurogenomics/MSTExplorer/releases" TargetMode="External" /><Relationship Type="http://schemas.openxmlformats.org/officeDocument/2006/relationships/hyperlink" Id="rId59" Target="https://github.com/neurogenomics/Rare-Disease-Web-Portal" TargetMode="External" /><Relationship Type="http://schemas.openxmlformats.org/officeDocument/2006/relationships/hyperlink" Id="rId24" Target="https://github.com/neurogenomics/rare_disease_celltyping" TargetMode="External" /><Relationship Type="http://schemas.openxmlformats.org/officeDocument/2006/relationships/hyperlink" Id="rId39" Target="https://github.com/neurogenomics/rare_disease_celltyping/issues/51" TargetMode="External" /><Relationship Type="http://schemas.openxmlformats.org/officeDocument/2006/relationships/hyperlink" Id="rId135" Target="https://github.com/neurogenomics/rare_disease_celltyping/releases/download/latest/gpt_check_annot.csv.gz" TargetMode="External" /><Relationship Type="http://schemas.openxmlformats.org/officeDocument/2006/relationships/hyperlink" Id="rId130" Target="https://hpo.jax.org" TargetMode="External" /><Relationship Type="http://schemas.openxmlformats.org/officeDocument/2006/relationships/hyperlink" Id="rId141" Target="https://monarchinitiative.org/" TargetMode="External" /><Relationship Type="http://schemas.openxmlformats.org/officeDocument/2006/relationships/hyperlink" Id="rId257" Target="https://natlawreview.com/article/fda-takes-first-step-toward-international-regulation-gene-therapies-treat-rare" TargetMode="External" /><Relationship Type="http://schemas.openxmlformats.org/officeDocument/2006/relationships/hyperlink" Id="rId20" Target="https://neurogenomics-ukdri.dsi.ic.ac.uk/" TargetMode="External" /><Relationship Type="http://schemas.openxmlformats.org/officeDocument/2006/relationships/hyperlink" Id="rId140" Target="https://obophenotype.github.io/cell-ontology/" TargetMode="External" /><Relationship Type="http://schemas.openxmlformats.org/officeDocument/2006/relationships/hyperlink" Id="rId241" Target="https://onlinelibrary.wiley.com/doi/10.1002/ana.26032" TargetMode="External" /><Relationship Type="http://schemas.openxmlformats.org/officeDocument/2006/relationships/hyperlink" Id="rId131" Target="https://thegencc.org/" TargetMode="External" /><Relationship Type="http://schemas.openxmlformats.org/officeDocument/2006/relationships/hyperlink" Id="rId61" Target="https://www.ebi.ac.uk/spot/oxo/" TargetMode="External" /><Relationship Type="http://schemas.openxmlformats.org/officeDocument/2006/relationships/hyperlink" Id="rId137" Target="https://www.genenames.org/data/genegroup/#!/group/492" TargetMode="External" /><Relationship Type="http://schemas.openxmlformats.org/officeDocument/2006/relationships/hyperlink" Id="rId270" Target="https://www.informatics.jax.org/marker/MGI:104783" TargetMode="External" /><Relationship Type="http://schemas.openxmlformats.org/officeDocument/2006/relationships/hyperlink" Id="rId271" Target="https://www.informatics.jax.org/marker/MGI:1354723" TargetMode="External" /><Relationship Type="http://schemas.openxmlformats.org/officeDocument/2006/relationships/hyperlink" Id="rId136" Target="https://zenodo.org/records/15147825" TargetMode="External" /></Relationships>
</file>

<file path=word/_rels/footnotes.xml.rels><?xml version="1.0" encoding="UTF-8"?><Relationships xmlns="http://schemas.openxmlformats.org/package/2006/relationships"><Relationship Type="http://schemas.openxmlformats.org/officeDocument/2006/relationships/hyperlink" Id="rId138" Target="http://db.idrblab.net/ttd/" TargetMode="External" /><Relationship Type="http://schemas.openxmlformats.org/officeDocument/2006/relationships/hyperlink" Id="rId133" Target="https://cellxgene.cziscience.com/collections/38833785-fac5-48fd-944a-0f62a4c23ed1" TargetMode="External" /><Relationship Type="http://schemas.openxmlformats.org/officeDocument/2006/relationships/hyperlink" Id="rId132" Target="https://cellxgene.cziscience.com/collections/c114c20f-1ef4-49a5-9c2e-d965787fb90c" TargetMode="External" /><Relationship Type="http://schemas.openxmlformats.org/officeDocument/2006/relationships/hyperlink" Id="rId139" Target="https://cellxgene.cziscience.com/gene-expression?genes=C5%2CCFI%2CC8B%2CCFB%2CMBL2%2CAPOE&amp;cellTypes=hepatoblast%2Chepatocyte&amp;ver=2" TargetMode="External" /><Relationship Type="http://schemas.openxmlformats.org/officeDocument/2006/relationships/hyperlink" Id="rId265" Target="https://doi.org/10.1002/mgg3.37" TargetMode="External" /><Relationship Type="http://schemas.openxmlformats.org/officeDocument/2006/relationships/hyperlink" Id="rId218" Target="https://doi.org/10.1016/0005-2736(85)90141-5" TargetMode="External" /><Relationship Type="http://schemas.openxmlformats.org/officeDocument/2006/relationships/hyperlink" Id="rId214" Target="https://doi.org/10.1016/B978-0-323-05594-9.00006-4" TargetMode="External" /><Relationship Type="http://schemas.openxmlformats.org/officeDocument/2006/relationships/hyperlink" Id="rId230" Target="https://doi.org/10.1016/j.ajhg.2018.08.017" TargetMode="External" /><Relationship Type="http://schemas.openxmlformats.org/officeDocument/2006/relationships/hyperlink" Id="rId222" Target="https://doi.org/10.1016/j.jmb.2019.01.016" TargetMode="External" /><Relationship Type="http://schemas.openxmlformats.org/officeDocument/2006/relationships/hyperlink" Id="rId232" Target="https://doi.org/10.1016/j.neuron.2025.10.001" TargetMode="External" /><Relationship Type="http://schemas.openxmlformats.org/officeDocument/2006/relationships/hyperlink" Id="rId168" Target="https://doi.org/10.1016/j.omtm.2024.101185" TargetMode="External" /><Relationship Type="http://schemas.openxmlformats.org/officeDocument/2006/relationships/hyperlink" Id="rId208" Target="https://doi.org/10.1038/d41573-022-00120-3" TargetMode="External" /><Relationship Type="http://schemas.openxmlformats.org/officeDocument/2006/relationships/hyperlink" Id="rId206" Target="https://doi.org/10.1038/ng.3314" TargetMode="External" /><Relationship Type="http://schemas.openxmlformats.org/officeDocument/2006/relationships/hyperlink" Id="rId245" Target="https://doi.org/10.1038/s41467-019-12780-8" TargetMode="External" /><Relationship Type="http://schemas.openxmlformats.org/officeDocument/2006/relationships/hyperlink" Id="rId236" Target="https://doi.org/10.1038/s41467-020-19111-2" TargetMode="External" /><Relationship Type="http://schemas.openxmlformats.org/officeDocument/2006/relationships/hyperlink" Id="rId201" Target="https://doi.org/10.1038/s41556-022-00989-7" TargetMode="External" /><Relationship Type="http://schemas.openxmlformats.org/officeDocument/2006/relationships/hyperlink" Id="rId224" Target="https://doi.org/10.1038/s41582-022-00633-w" TargetMode="External" /><Relationship Type="http://schemas.openxmlformats.org/officeDocument/2006/relationships/hyperlink" Id="rId210" Target="https://doi.org/10.1038/s41586-024-07316-0" TargetMode="External" /><Relationship Type="http://schemas.openxmlformats.org/officeDocument/2006/relationships/hyperlink" Id="rId234" Target="https://doi.org/10.1038/s41588-020-0610-9" TargetMode="External" /><Relationship Type="http://schemas.openxmlformats.org/officeDocument/2006/relationships/hyperlink" Id="rId247" Target="https://doi.org/10.1038/s41598-021-95122-3" TargetMode="External" /><Relationship Type="http://schemas.openxmlformats.org/officeDocument/2006/relationships/hyperlink" Id="rId243" Target="https://doi.org/10.1093/brain/awab446" TargetMode="External" /><Relationship Type="http://schemas.openxmlformats.org/officeDocument/2006/relationships/hyperlink" Id="rId249" Target="https://doi.org/10.1093/jnci/djad043" TargetMode="External" /><Relationship Type="http://schemas.openxmlformats.org/officeDocument/2006/relationships/hyperlink" Id="rId226" Target="https://doi.org/10.1101/2020.10.27.356113" TargetMode="External" /><Relationship Type="http://schemas.openxmlformats.org/officeDocument/2006/relationships/hyperlink" Id="rId199" Target="https://doi.org/10.1101/gr.175501" TargetMode="External" /><Relationship Type="http://schemas.openxmlformats.org/officeDocument/2006/relationships/hyperlink" Id="rId178" Target="https://doi.org/10.1177/0962280209351908" TargetMode="External" /><Relationship Type="http://schemas.openxmlformats.org/officeDocument/2006/relationships/hyperlink" Id="rId220" Target="https://doi.org/10.1186/s12974-020-01947-6" TargetMode="External" /><Relationship Type="http://schemas.openxmlformats.org/officeDocument/2006/relationships/hyperlink" Id="rId176" Target="https://doi.org/10.1186/s13040-018-0166-8" TargetMode="External" /><Relationship Type="http://schemas.openxmlformats.org/officeDocument/2006/relationships/hyperlink" Id="rId228" Target="https://doi.org/10.1186/s13059-016-1107-9" TargetMode="External" /><Relationship Type="http://schemas.openxmlformats.org/officeDocument/2006/relationships/hyperlink" Id="rId172" Target="https://doi.org/10.3389/fdgth.2026.1794934" TargetMode="External" /><Relationship Type="http://schemas.openxmlformats.org/officeDocument/2006/relationships/hyperlink" Id="rId180" Target="https://doi.org/10.3389/fgene.2020.00654" TargetMode="External" /><Relationship Type="http://schemas.openxmlformats.org/officeDocument/2006/relationships/hyperlink" Id="rId238" Target="https://doi.org/10.3389/fimmu.2023.1168539" TargetMode="External" /><Relationship Type="http://schemas.openxmlformats.org/officeDocument/2006/relationships/hyperlink" Id="rId170" Target="https://doi.org/10.3389/fnmol.2020.618020" TargetMode="External" /><Relationship Type="http://schemas.openxmlformats.org/officeDocument/2006/relationships/hyperlink" Id="rId263" Target="https://doi.org/10.3389/fphys.2018.01663" TargetMode="External" /><Relationship Type="http://schemas.openxmlformats.org/officeDocument/2006/relationships/hyperlink" Id="rId251" Target="https://doi.org/10.3390/cells9102267" TargetMode="External" /><Relationship Type="http://schemas.openxmlformats.org/officeDocument/2006/relationships/hyperlink" Id="rId216" Target="https://doi.org/10.3390/ijms21031063" TargetMode="External" /><Relationship Type="http://schemas.openxmlformats.org/officeDocument/2006/relationships/hyperlink" Id="rId212" Target="https://doi.org/10.3390/ijms22094534" TargetMode="External" /><Relationship Type="http://schemas.openxmlformats.org/officeDocument/2006/relationships/hyperlink" Id="rId204" Target="https://doi.org/10.48550/arXiv.2102.12092" TargetMode="External" /><Relationship Type="http://schemas.openxmlformats.org/officeDocument/2006/relationships/hyperlink" Id="rId261" Target="https://doi.org/10.5281/zenodo.15147825" TargetMode="External" /><Relationship Type="http://schemas.openxmlformats.org/officeDocument/2006/relationships/hyperlink" Id="rId22" Target="https://github.com/neurogenomics/HPOExplorer" TargetMode="External" /><Relationship Type="http://schemas.openxmlformats.org/officeDocument/2006/relationships/hyperlink" Id="rId62" Target="https://github.com/neurogenomics/HPOExplorer/releases/tag/latest" TargetMode="External" /><Relationship Type="http://schemas.openxmlformats.org/officeDocument/2006/relationships/hyperlink" Id="rId21" Target="https://github.com/neurogenomics/KGExplorer" TargetMode="External" /><Relationship Type="http://schemas.openxmlformats.org/officeDocument/2006/relationships/hyperlink" Id="rId23" Target="https://github.com/neurogenomics/MSTExplorer" TargetMode="External" /><Relationship Type="http://schemas.openxmlformats.org/officeDocument/2006/relationships/hyperlink" Id="rId134" Target="https://github.com/neurogenomics/MSTExplorer/releases" TargetMode="External" /><Relationship Type="http://schemas.openxmlformats.org/officeDocument/2006/relationships/hyperlink" Id="rId59" Target="https://github.com/neurogenomics/Rare-Disease-Web-Portal" TargetMode="External" /><Relationship Type="http://schemas.openxmlformats.org/officeDocument/2006/relationships/hyperlink" Id="rId24" Target="https://github.com/neurogenomics/rare_disease_celltyping" TargetMode="External" /><Relationship Type="http://schemas.openxmlformats.org/officeDocument/2006/relationships/hyperlink" Id="rId39" Target="https://github.com/neurogenomics/rare_disease_celltyping/issues/51" TargetMode="External" /><Relationship Type="http://schemas.openxmlformats.org/officeDocument/2006/relationships/hyperlink" Id="rId135" Target="https://github.com/neurogenomics/rare_disease_celltyping/releases/download/latest/gpt_check_annot.csv.gz" TargetMode="External" /><Relationship Type="http://schemas.openxmlformats.org/officeDocument/2006/relationships/hyperlink" Id="rId130" Target="https://hpo.jax.org" TargetMode="External" /><Relationship Type="http://schemas.openxmlformats.org/officeDocument/2006/relationships/hyperlink" Id="rId141" Target="https://monarchinitiative.org/" TargetMode="External" /><Relationship Type="http://schemas.openxmlformats.org/officeDocument/2006/relationships/hyperlink" Id="rId257" Target="https://natlawreview.com/article/fda-takes-first-step-toward-international-regulation-gene-therapies-treat-rare" TargetMode="External" /><Relationship Type="http://schemas.openxmlformats.org/officeDocument/2006/relationships/hyperlink" Id="rId20" Target="https://neurogenomics-ukdri.dsi.ic.ac.uk/" TargetMode="External" /><Relationship Type="http://schemas.openxmlformats.org/officeDocument/2006/relationships/hyperlink" Id="rId140" Target="https://obophenotype.github.io/cell-ontology/" TargetMode="External" /><Relationship Type="http://schemas.openxmlformats.org/officeDocument/2006/relationships/hyperlink" Id="rId241" Target="https://onlinelibrary.wiley.com/doi/10.1002/ana.26032" TargetMode="External" /><Relationship Type="http://schemas.openxmlformats.org/officeDocument/2006/relationships/hyperlink" Id="rId131" Target="https://thegencc.org/" TargetMode="External" /><Relationship Type="http://schemas.openxmlformats.org/officeDocument/2006/relationships/hyperlink" Id="rId61" Target="https://www.ebi.ac.uk/spot/oxo/" TargetMode="External" /><Relationship Type="http://schemas.openxmlformats.org/officeDocument/2006/relationships/hyperlink" Id="rId137" Target="https://www.genenames.org/data/genegroup/#!/group/492" TargetMode="External" /><Relationship Type="http://schemas.openxmlformats.org/officeDocument/2006/relationships/hyperlink" Id="rId270" Target="https://www.informatics.jax.org/marker/MGI:104783" TargetMode="External" /><Relationship Type="http://schemas.openxmlformats.org/officeDocument/2006/relationships/hyperlink" Id="rId271" Target="https://www.informatics.jax.org/marker/MGI:1354723" TargetMode="External" /><Relationship Type="http://schemas.openxmlformats.org/officeDocument/2006/relationships/hyperlink" Id="rId136" Target="https://zenodo.org/records/151478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type-specific contextualisation of the human phenome: towards the systematic treatment of all rare diseases</dc:title>
  <dc:creator>Brian M. Schilder; Kitty B. Murphy; Hiranyamaya Dash; Yichun Zhang; Robert Gordon-Smith; Jai Chapman; Momoko Otani; Nathan G. Skene</dc:creator>
  <cp:keywords>rare disease, Human Phenotype Ontology, single-cell transcriptomics, cell type specificity, phenotype-cell type associations, gene therapy, therapeutic target identification</cp:keywords>
  <dcterms:created xsi:type="dcterms:W3CDTF">2026-06-02T22:49:24Z</dcterms:created>
  <dcterms:modified xsi:type="dcterms:W3CDTF">2026-06-02T22:49:24Z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_extensions/quarto-journals/agu/nature-medicine.csl</vt:lpwstr>
  </property>
  <property fmtid="{D5CDD505-2E9C-101B-9397-08002B2CF9AE}" pid="11" name="editor">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