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E1BDC" w14:textId="77777777" w:rsidR="00E850AD" w:rsidRDefault="00000000">
      <w:pPr>
        <w:pStyle w:val="Heading1"/>
      </w:pPr>
      <w:bookmarkStart w:id="0" w:name="X828db5f84acfb85debd1e0371ff38610bc058a0"/>
      <w:r>
        <w:t xml:space="preserve">Manuscript changes — </w:t>
      </w:r>
      <w:r>
        <w:rPr>
          <w:i/>
          <w:iCs/>
        </w:rPr>
        <w:t>Genome Medicine</w:t>
      </w:r>
      <w:r>
        <w:t xml:space="preserve"> revision</w:t>
      </w:r>
    </w:p>
    <w:p w14:paraId="490FA63B" w14:textId="77777777" w:rsidR="00E850AD" w:rsidRDefault="00000000">
      <w:pPr>
        <w:pStyle w:val="FirstParagraph"/>
      </w:pPr>
      <w:r>
        <w:rPr>
          <w:b/>
          <w:bCs/>
        </w:rPr>
        <w:t>Manuscript:</w:t>
      </w:r>
      <w:r>
        <w:t xml:space="preserve"> "Cell type-specific contextualisation of the human phenome: towards the systematic treatment of all rare diseases" </w:t>
      </w:r>
      <w:r>
        <w:rPr>
          <w:b/>
          <w:bCs/>
        </w:rPr>
        <w:t>Submission ID:</w:t>
      </w:r>
      <w:r>
        <w:t xml:space="preserve"> c4c7ccc2-bf88-4b39-9103-b75d44e75c83 </w:t>
      </w:r>
      <w:r>
        <w:rPr>
          <w:b/>
          <w:bCs/>
        </w:rPr>
        <w:t>Source file:</w:t>
      </w:r>
      <w:r>
        <w:t xml:space="preserve"> </w:t>
      </w:r>
      <w:r>
        <w:rPr>
          <w:rStyle w:val="VerbatimChar"/>
        </w:rPr>
        <w:t>manuscript/index.qmd</w:t>
      </w:r>
    </w:p>
    <w:p w14:paraId="78690111" w14:textId="77777777" w:rsidR="00E850AD" w:rsidRDefault="00000000">
      <w:pPr>
        <w:pStyle w:val="BodyText"/>
      </w:pPr>
      <w:r>
        <w:t xml:space="preserve">This document records, point by point, every change made to the manuscript in response to the </w:t>
      </w:r>
      <w:r>
        <w:rPr>
          <w:i/>
          <w:iCs/>
        </w:rPr>
        <w:t>Genome Medicine</w:t>
      </w:r>
      <w:r>
        <w:t xml:space="preserve"> editorial decision letter (Patrik Flammer, Editor). The editorial-revision items are keyed to the editor's numbered requests (1–30) and tracked in the closed GitHub issues prefixed </w:t>
      </w:r>
      <w:r>
        <w:rPr>
          <w:rStyle w:val="VerbatimChar"/>
        </w:rPr>
        <w:t>[Manuscript]</w:t>
      </w:r>
      <w:r>
        <w:t xml:space="preserve"> (</w:t>
      </w:r>
      <w:hyperlink r:id="rId5">
        <w:r>
          <w:rPr>
            <w:rStyle w:val="Hyperlink"/>
          </w:rPr>
          <w:t>#103–#131</w:t>
        </w:r>
      </w:hyperlink>
      <w:r>
        <w:t xml:space="preserve">); the copyediting items (typos, grammar, citations, undefined acronyms) are tracked in </w:t>
      </w:r>
      <w:hyperlink r:id="rId6">
        <w:r>
          <w:rPr>
            <w:rStyle w:val="Hyperlink"/>
          </w:rPr>
          <w:t>#133</w:t>
        </w:r>
      </w:hyperlink>
      <w:r>
        <w:t xml:space="preserve">. Line numbers refer to </w:t>
      </w:r>
      <w:r>
        <w:rPr>
          <w:rStyle w:val="VerbatimChar"/>
        </w:rPr>
        <w:t>manuscript/index.qmd</w:t>
      </w:r>
      <w:r>
        <w:t xml:space="preserve"> at the time of editing.</w:t>
      </w:r>
    </w:p>
    <w:p w14:paraId="6F5AEEFF" w14:textId="77777777" w:rsidR="00E850AD" w:rsidRDefault="00000000">
      <w:pPr>
        <w:pStyle w:val="BlockText"/>
      </w:pPr>
      <w:r>
        <w:t>Note on Reviewer 1's additional comments: per direct discussion with the reviewer, those were suggestions only and not required for acceptance; they are therefore out of scope for this changelog.</w:t>
      </w:r>
    </w:p>
    <w:p w14:paraId="0E8F9637" w14:textId="77777777" w:rsidR="00E850AD" w:rsidRDefault="00327DCB">
      <w:r>
        <w:rPr>
          <w:noProof/>
        </w:rPr>
        <w:pict w14:anchorId="25998336">
          <v:rect id="_x0000_i1025" alt="" style="width:468pt;height:.05pt;mso-width-percent:0;mso-height-percent:0;mso-width-percent:0;mso-height-percent:0" o:hralign="center" o:hrstd="t" o:hr="t"/>
        </w:pict>
      </w:r>
    </w:p>
    <w:p w14:paraId="35826CE9" w14:textId="77777777" w:rsidR="00E850AD" w:rsidRDefault="00000000">
      <w:pPr>
        <w:pStyle w:val="Heading2"/>
      </w:pPr>
      <w:bookmarkStart w:id="1" w:name="general-formatting"/>
      <w:r>
        <w:t>General Formatting</w:t>
      </w:r>
    </w:p>
    <w:p w14:paraId="6798F192" w14:textId="77777777" w:rsidR="00E850AD" w:rsidRDefault="00000000">
      <w:pPr>
        <w:pStyle w:val="FirstParagraph"/>
      </w:pPr>
      <w:r>
        <w:rPr>
          <w:b/>
          <w:bCs/>
        </w:rPr>
        <w:t>1. Scientific styling (italics for species names and gene symbols; check abbreviations).</w:t>
      </w:r>
      <w:r>
        <w:t xml:space="preserve"> Italicised all species names (e.g. </w:t>
      </w:r>
      <w:r>
        <w:rPr>
          <w:i/>
          <w:iCs/>
        </w:rPr>
        <w:t>Homo sapiens</w:t>
      </w:r>
      <w:r>
        <w:t xml:space="preserve">, </w:t>
      </w:r>
      <w:r>
        <w:rPr>
          <w:i/>
          <w:iCs/>
        </w:rPr>
        <w:t>Macaca mulatta</w:t>
      </w:r>
      <w:r>
        <w:t xml:space="preserve">, </w:t>
      </w:r>
      <w:r>
        <w:rPr>
          <w:i/>
          <w:iCs/>
        </w:rPr>
        <w:t>Mus musculus</w:t>
      </w:r>
      <w:r>
        <w:t xml:space="preserve">, </w:t>
      </w:r>
      <w:r>
        <w:rPr>
          <w:i/>
          <w:iCs/>
        </w:rPr>
        <w:t>Danio rerio</w:t>
      </w:r>
      <w:r>
        <w:t xml:space="preserve">, </w:t>
      </w:r>
      <w:r>
        <w:rPr>
          <w:i/>
          <w:iCs/>
        </w:rPr>
        <w:t>Drosophila melanogaster</w:t>
      </w:r>
      <w:r>
        <w:t xml:space="preserve">, </w:t>
      </w:r>
      <w:r>
        <w:rPr>
          <w:i/>
          <w:iCs/>
        </w:rPr>
        <w:t>Caenorhabditis elegans</w:t>
      </w:r>
      <w:r>
        <w:t xml:space="preserve">) and all gene symbols (e.g. </w:t>
      </w:r>
      <w:r>
        <w:rPr>
          <w:i/>
          <w:iCs/>
        </w:rPr>
        <w:t>EPOR</w:t>
      </w:r>
      <w:r>
        <w:t xml:space="preserve">, </w:t>
      </w:r>
      <w:r>
        <w:rPr>
          <w:i/>
          <w:iCs/>
        </w:rPr>
        <w:t>HEXA</w:t>
      </w:r>
      <w:r>
        <w:t xml:space="preserve">, </w:t>
      </w:r>
      <w:r>
        <w:rPr>
          <w:i/>
          <w:iCs/>
        </w:rPr>
        <w:t>RPE65</w:t>
      </w:r>
      <w:r>
        <w:t xml:space="preserve">, </w:t>
      </w:r>
      <w:r>
        <w:rPr>
          <w:i/>
          <w:iCs/>
        </w:rPr>
        <w:t>LRRK2</w:t>
      </w:r>
      <w:r>
        <w:t xml:space="preserve">, </w:t>
      </w:r>
      <w:r>
        <w:rPr>
          <w:i/>
          <w:iCs/>
        </w:rPr>
        <w:t>MBL2</w:t>
      </w:r>
      <w:r>
        <w:t xml:space="preserve">, complement genes); reviewed abbreviations for appropriateness and definition at first use. — </w:t>
      </w:r>
      <w:hyperlink r:id="rId7">
        <w:r>
          <w:rPr>
            <w:rStyle w:val="Hyperlink"/>
          </w:rPr>
          <w:t>#107</w:t>
        </w:r>
      </w:hyperlink>
    </w:p>
    <w:p w14:paraId="71786074" w14:textId="77777777" w:rsidR="00E850AD" w:rsidRDefault="00000000">
      <w:pPr>
        <w:pStyle w:val="BodyText"/>
      </w:pPr>
      <w:r>
        <w:rPr>
          <w:b/>
          <w:bCs/>
        </w:rPr>
        <w:t>2. Capitalisation.</w:t>
      </w:r>
      <w:r>
        <w:t xml:space="preserve"> Lower-cased non-proper-noun terms throughout; retained capitalisation only for proper nouns, brand/database names, and ontology/term names. — </w:t>
      </w:r>
      <w:hyperlink r:id="rId8">
        <w:r>
          <w:rPr>
            <w:rStyle w:val="Hyperlink"/>
          </w:rPr>
          <w:t>#105</w:t>
        </w:r>
      </w:hyperlink>
    </w:p>
    <w:p w14:paraId="321929FE" w14:textId="77777777" w:rsidR="00E850AD" w:rsidRDefault="00000000">
      <w:pPr>
        <w:pStyle w:val="BodyText"/>
      </w:pPr>
      <w:r>
        <w:rPr>
          <w:b/>
          <w:bCs/>
        </w:rPr>
        <w:t xml:space="preserve">3. Conform to </w:t>
      </w:r>
      <w:r>
        <w:rPr>
          <w:b/>
          <w:bCs/>
          <w:i/>
          <w:iCs/>
        </w:rPr>
        <w:t>Genome Medicine</w:t>
      </w:r>
      <w:r>
        <w:rPr>
          <w:b/>
          <w:bCs/>
        </w:rPr>
        <w:t xml:space="preserve"> research-article formatting guidelines.</w:t>
      </w:r>
      <w:r>
        <w:t xml:space="preserve"> Umbrella restructuring of the article to the journal's research-article template (sections, declarations, additional files); individual conformance items are itemised below. — </w:t>
      </w:r>
      <w:hyperlink r:id="rId9">
        <w:r>
          <w:rPr>
            <w:rStyle w:val="Hyperlink"/>
          </w:rPr>
          <w:t>#103</w:t>
        </w:r>
      </w:hyperlink>
    </w:p>
    <w:p w14:paraId="0A6CC5AD" w14:textId="77777777" w:rsidR="00E850AD" w:rsidRDefault="00000000">
      <w:pPr>
        <w:pStyle w:val="Heading2"/>
      </w:pPr>
      <w:bookmarkStart w:id="2" w:name="front-matter"/>
      <w:bookmarkEnd w:id="1"/>
      <w:r>
        <w:t>Front Matter</w:t>
      </w:r>
    </w:p>
    <w:p w14:paraId="09E82D81" w14:textId="77777777" w:rsidR="00E850AD" w:rsidRDefault="00000000">
      <w:pPr>
        <w:pStyle w:val="FirstParagraph"/>
      </w:pPr>
      <w:r>
        <w:rPr>
          <w:b/>
          <w:bCs/>
        </w:rPr>
        <w:t>4. Indicate corresponding author(s) on the title page, with postal and email addresses.</w:t>
      </w:r>
      <w:r>
        <w:t xml:space="preserve"> Added an author-affiliations block marking both corresponding authors (B.M.S., N.G.S.) with email addresses and a shared postal address. — </w:t>
      </w:r>
      <w:hyperlink r:id="rId10">
        <w:r>
          <w:rPr>
            <w:rStyle w:val="Hyperlink"/>
          </w:rPr>
          <w:t>#106</w:t>
        </w:r>
      </w:hyperlink>
    </w:p>
    <w:p w14:paraId="2B26756C" w14:textId="77777777" w:rsidR="00E850AD" w:rsidRDefault="00000000">
      <w:pPr>
        <w:pStyle w:val="BodyText"/>
      </w:pPr>
      <w:r>
        <w:rPr>
          <w:b/>
          <w:bCs/>
        </w:rPr>
        <w:t>5. Names, institutions and countries of all authors; full postal/email for corresponding author.</w:t>
      </w:r>
      <w:r>
        <w:t xml:space="preserve"> Title page now lists all authors with superscripted affiliations, full institutional addresses and countries, and corresponding-author contact details. — </w:t>
      </w:r>
      <w:hyperlink r:id="rId11">
        <w:r>
          <w:rPr>
            <w:rStyle w:val="Hyperlink"/>
          </w:rPr>
          <w:t>#108</w:t>
        </w:r>
      </w:hyperlink>
    </w:p>
    <w:p w14:paraId="7D73759D" w14:textId="77777777" w:rsidR="00E850AD" w:rsidRDefault="00000000">
      <w:pPr>
        <w:pStyle w:val="BodyText"/>
      </w:pPr>
      <w:r>
        <w:rPr>
          <w:b/>
          <w:bCs/>
        </w:rPr>
        <w:t>6. Remove the date from the title page.</w:t>
      </w:r>
      <w:r>
        <w:t xml:space="preserve"> Removed. — </w:t>
      </w:r>
      <w:hyperlink r:id="rId12">
        <w:r>
          <w:rPr>
            <w:rStyle w:val="Hyperlink"/>
          </w:rPr>
          <w:t>#104</w:t>
        </w:r>
      </w:hyperlink>
    </w:p>
    <w:p w14:paraId="51740FE1" w14:textId="77777777" w:rsidR="00E850AD" w:rsidRDefault="00000000">
      <w:pPr>
        <w:pStyle w:val="BodyText"/>
      </w:pPr>
      <w:r>
        <w:rPr>
          <w:b/>
          <w:bCs/>
        </w:rPr>
        <w:lastRenderedPageBreak/>
        <w:t>7. Restructure abstract (Background/Methods/Results/Conclusions, ≤350 words).</w:t>
      </w:r>
      <w:r>
        <w:t xml:space="preserve"> Abstract reformatted into the four required labelled subsections and trimmed to within the 350-word limit. — </w:t>
      </w:r>
      <w:hyperlink r:id="rId13">
        <w:r>
          <w:rPr>
            <w:rStyle w:val="Hyperlink"/>
          </w:rPr>
          <w:t>#114</w:t>
        </w:r>
      </w:hyperlink>
    </w:p>
    <w:p w14:paraId="6C9210B7" w14:textId="77777777" w:rsidR="00E850AD" w:rsidRDefault="00000000">
      <w:pPr>
        <w:pStyle w:val="BodyText"/>
      </w:pPr>
      <w:r>
        <w:rPr>
          <w:b/>
          <w:bCs/>
        </w:rPr>
        <w:t>8. Add software URL at end of abstract.</w:t>
      </w:r>
      <w:r>
        <w:t xml:space="preserve"> Added a "Software and data availability" line at the end of the abstract with the interactive web-portal URL and the three R-package repositories. — </w:t>
      </w:r>
      <w:hyperlink r:id="rId14">
        <w:r>
          <w:rPr>
            <w:rStyle w:val="Hyperlink"/>
          </w:rPr>
          <w:t>#110</w:t>
        </w:r>
      </w:hyperlink>
    </w:p>
    <w:p w14:paraId="3A981E7D" w14:textId="77777777" w:rsidR="00E850AD" w:rsidRDefault="00000000">
      <w:pPr>
        <w:pStyle w:val="BodyText"/>
      </w:pPr>
      <w:r>
        <w:rPr>
          <w:b/>
          <w:bCs/>
        </w:rPr>
        <w:t>9. Add a keywords section (3–10 keywords) after the abstract.</w:t>
      </w:r>
      <w:r>
        <w:t xml:space="preserve"> Added seven keywords (rare disease; Human Phenotype Ontology; single-cell transcriptomics; cell type specificity; phenotype-cell type associations; gene therapy; therapeutic target identification). — </w:t>
      </w:r>
      <w:hyperlink r:id="rId15">
        <w:r>
          <w:rPr>
            <w:rStyle w:val="Hyperlink"/>
          </w:rPr>
          <w:t>#112</w:t>
        </w:r>
      </w:hyperlink>
    </w:p>
    <w:p w14:paraId="78D66B5C" w14:textId="77777777" w:rsidR="00E850AD" w:rsidRDefault="00000000">
      <w:pPr>
        <w:pStyle w:val="Heading2"/>
      </w:pPr>
      <w:bookmarkStart w:id="3" w:name="main-text"/>
      <w:bookmarkEnd w:id="2"/>
      <w:r>
        <w:t>Main Text</w:t>
      </w:r>
    </w:p>
    <w:p w14:paraId="54E1B357" w14:textId="77777777" w:rsidR="00E850AD" w:rsidRDefault="00000000">
      <w:pPr>
        <w:pStyle w:val="FirstParagraph"/>
      </w:pPr>
      <w:r>
        <w:rPr>
          <w:b/>
          <w:bCs/>
        </w:rPr>
        <w:t>10. Rename Introduction → "Background".</w:t>
      </w:r>
      <w:r>
        <w:t xml:space="preserve"> Section renamed (</w:t>
      </w:r>
      <w:r>
        <w:rPr>
          <w:rStyle w:val="VerbatimChar"/>
        </w:rPr>
        <w:t>## Background {#sec-background}</w:t>
      </w:r>
      <w:r>
        <w:t xml:space="preserve">). — </w:t>
      </w:r>
      <w:hyperlink r:id="rId16">
        <w:r>
          <w:rPr>
            <w:rStyle w:val="Hyperlink"/>
          </w:rPr>
          <w:t>#113</w:t>
        </w:r>
      </w:hyperlink>
    </w:p>
    <w:p w14:paraId="71A9E14D" w14:textId="77777777" w:rsidR="00E850AD" w:rsidRDefault="00000000">
      <w:pPr>
        <w:pStyle w:val="BodyText"/>
      </w:pPr>
      <w:r>
        <w:rPr>
          <w:b/>
          <w:bCs/>
        </w:rPr>
        <w:t>11. Move Methods to immediately follow Background.</w:t>
      </w:r>
      <w:r>
        <w:t xml:space="preserve"> Methods relocated to directly after Background, before Results. (This reordering is also the source of several acronym-definition fixes below.) — </w:t>
      </w:r>
      <w:hyperlink r:id="rId17">
        <w:r>
          <w:rPr>
            <w:rStyle w:val="Hyperlink"/>
          </w:rPr>
          <w:t>#109</w:t>
        </w:r>
      </w:hyperlink>
    </w:p>
    <w:p w14:paraId="1D3538DE" w14:textId="77777777" w:rsidR="00E850AD" w:rsidRDefault="00000000">
      <w:pPr>
        <w:pStyle w:val="BodyText"/>
      </w:pPr>
      <w:r>
        <w:rPr>
          <w:b/>
          <w:bCs/>
        </w:rPr>
        <w:t>12. Cite all tools with version numbers in Methods.</w:t>
      </w:r>
      <w:r>
        <w:t xml:space="preserve"> Added version numbers and citations for key tools/packages (</w:t>
      </w:r>
      <w:r>
        <w:rPr>
          <w:rStyle w:val="VerbatimChar"/>
        </w:rPr>
        <w:t>EWCE</w:t>
      </w:r>
      <w:r>
        <w:t xml:space="preserve"> v1.11.3, </w:t>
      </w:r>
      <w:r>
        <w:rPr>
          <w:rStyle w:val="VerbatimChar"/>
        </w:rPr>
        <w:t>data.table</w:t>
      </w:r>
      <w:r>
        <w:t xml:space="preserve">, </w:t>
      </w:r>
      <w:r>
        <w:rPr>
          <w:rStyle w:val="VerbatimChar"/>
        </w:rPr>
        <w:t>ggplot2</w:t>
      </w:r>
      <w:r>
        <w:t xml:space="preserve">, </w:t>
      </w:r>
      <w:r>
        <w:rPr>
          <w:rStyle w:val="VerbatimChar"/>
        </w:rPr>
        <w:t>simona</w:t>
      </w:r>
      <w:r>
        <w:t xml:space="preserve">, </w:t>
      </w:r>
      <w:r>
        <w:rPr>
          <w:rStyle w:val="VerbatimChar"/>
        </w:rPr>
        <w:t>orthogene</w:t>
      </w:r>
      <w:r>
        <w:t xml:space="preserve">, </w:t>
      </w:r>
      <w:r>
        <w:rPr>
          <w:rStyle w:val="VerbatimChar"/>
        </w:rPr>
        <w:t>Seurat</w:t>
      </w:r>
      <w:r>
        <w:t xml:space="preserve">, R version, Quarto/LuaLaTeX/TeX Live), rendered dynamically via inline R. — </w:t>
      </w:r>
      <w:hyperlink r:id="rId18">
        <w:r>
          <w:rPr>
            <w:rStyle w:val="Hyperlink"/>
          </w:rPr>
          <w:t>#111</w:t>
        </w:r>
      </w:hyperlink>
    </w:p>
    <w:p w14:paraId="1DD353B9" w14:textId="77777777" w:rsidR="00E850AD" w:rsidRDefault="00000000">
      <w:pPr>
        <w:pStyle w:val="BodyText"/>
      </w:pPr>
      <w:r>
        <w:rPr>
          <w:b/>
          <w:bCs/>
        </w:rPr>
        <w:t>13. Number all figures and references by first appearance.</w:t>
      </w:r>
      <w:r>
        <w:t xml:space="preserve"> Reordered/renumbered figures and references to follow first mention; added a roadmap paragraph in the Background enumerating figures in order. — </w:t>
      </w:r>
      <w:hyperlink r:id="rId19">
        <w:r>
          <w:rPr>
            <w:rStyle w:val="Hyperlink"/>
          </w:rPr>
          <w:t>#116</w:t>
        </w:r>
      </w:hyperlink>
    </w:p>
    <w:p w14:paraId="4F3FA717" w14:textId="77777777" w:rsidR="00E850AD" w:rsidRDefault="00000000">
      <w:pPr>
        <w:pStyle w:val="BodyText"/>
      </w:pPr>
      <w:r>
        <w:rPr>
          <w:b/>
          <w:bCs/>
        </w:rPr>
        <w:t>14. Add a Conclusions section after the Discussion.</w:t>
      </w:r>
      <w:r>
        <w:t xml:space="preserve"> Added </w:t>
      </w:r>
      <w:r>
        <w:rPr>
          <w:rStyle w:val="VerbatimChar"/>
        </w:rPr>
        <w:t>## Conclusions {#sec-conclusions}</w:t>
      </w:r>
      <w:r>
        <w:t xml:space="preserve">. — </w:t>
      </w:r>
      <w:hyperlink r:id="rId20">
        <w:r>
          <w:rPr>
            <w:rStyle w:val="Hyperlink"/>
          </w:rPr>
          <w:t>#115</w:t>
        </w:r>
      </w:hyperlink>
    </w:p>
    <w:p w14:paraId="57F9F0C0" w14:textId="77777777" w:rsidR="00E850AD" w:rsidRDefault="00000000">
      <w:pPr>
        <w:pStyle w:val="Heading2"/>
      </w:pPr>
      <w:bookmarkStart w:id="4" w:name="declarations"/>
      <w:bookmarkEnd w:id="3"/>
      <w:r>
        <w:t>Declarations</w:t>
      </w:r>
    </w:p>
    <w:p w14:paraId="2A95D5F6" w14:textId="77777777" w:rsidR="00E850AD" w:rsidRDefault="00000000">
      <w:pPr>
        <w:pStyle w:val="FirstParagraph"/>
      </w:pPr>
      <w:r>
        <w:rPr>
          <w:b/>
          <w:bCs/>
        </w:rPr>
        <w:t>15. Add a full Declarations section with all required subheadings.</w:t>
      </w:r>
      <w:r>
        <w:t xml:space="preserve"> Added </w:t>
      </w:r>
      <w:r>
        <w:rPr>
          <w:rStyle w:val="VerbatimChar"/>
        </w:rPr>
        <w:t>## Declarations</w:t>
      </w:r>
      <w:r>
        <w:t xml:space="preserve"> containing: Ethics approval and consent to participate; Consent for publication; Availability of data and materials; Competing interests; Funding; Authors' contributions; Acknowledgements (with "not applicable" used where appropriate). — </w:t>
      </w:r>
      <w:hyperlink r:id="rId21">
        <w:r>
          <w:rPr>
            <w:rStyle w:val="Hyperlink"/>
          </w:rPr>
          <w:t>#120</w:t>
        </w:r>
      </w:hyperlink>
    </w:p>
    <w:p w14:paraId="513DFA89" w14:textId="77777777" w:rsidR="00E850AD" w:rsidRDefault="00000000">
      <w:pPr>
        <w:pStyle w:val="BodyText"/>
      </w:pPr>
      <w:r>
        <w:rPr>
          <w:b/>
          <w:bCs/>
        </w:rPr>
        <w:t>16. Merge Data Availability and Code Availability into "Availability of data and materials".</w:t>
      </w:r>
      <w:r>
        <w:t xml:space="preserve"> Combined into a single subsection listing datasets and source code. — </w:t>
      </w:r>
      <w:hyperlink r:id="rId22">
        <w:r>
          <w:rPr>
            <w:rStyle w:val="Hyperlink"/>
          </w:rPr>
          <w:t>#118</w:t>
        </w:r>
      </w:hyperlink>
    </w:p>
    <w:p w14:paraId="51C12E23" w14:textId="77777777" w:rsidR="00E850AD" w:rsidRDefault="00000000">
      <w:pPr>
        <w:pStyle w:val="BodyText"/>
      </w:pPr>
      <w:r>
        <w:rPr>
          <w:b/>
          <w:bCs/>
        </w:rPr>
        <w:t>17. Datasets as linkable URLs + DataCite-format references in the bibliography.</w:t>
      </w:r>
      <w:r>
        <w:t xml:space="preserve"> Datasets presented as fully linkable URLs and referenced (e.g. the Rare Disease Celltyping Portal data archive on Zenodo, </w:t>
      </w:r>
      <w:r>
        <w:rPr>
          <w:rStyle w:val="VerbatimChar"/>
        </w:rPr>
        <w:t>@rdc_portal_zenodo</w:t>
      </w:r>
      <w:r>
        <w:t xml:space="preserve">), with repository/DOI information per DataCite minimum fields. — </w:t>
      </w:r>
      <w:hyperlink r:id="rId23">
        <w:r>
          <w:rPr>
            <w:rStyle w:val="Hyperlink"/>
          </w:rPr>
          <w:t>#119</w:t>
        </w:r>
      </w:hyperlink>
    </w:p>
    <w:p w14:paraId="7B13E2C8" w14:textId="77777777" w:rsidR="00E850AD" w:rsidRDefault="00000000">
      <w:pPr>
        <w:pStyle w:val="BodyText"/>
      </w:pPr>
      <w:r>
        <w:rPr>
          <w:b/>
          <w:bCs/>
        </w:rPr>
        <w:lastRenderedPageBreak/>
        <w:t>18. Add a Competing interests declaration.</w:t>
      </w:r>
      <w:r>
        <w:t xml:space="preserve"> Added: "The authors declare that they have no competing interests." — </w:t>
      </w:r>
      <w:hyperlink r:id="rId24">
        <w:r>
          <w:rPr>
            <w:rStyle w:val="Hyperlink"/>
          </w:rPr>
          <w:t>#117</w:t>
        </w:r>
      </w:hyperlink>
    </w:p>
    <w:p w14:paraId="44F00C57" w14:textId="77777777" w:rsidR="00E850AD" w:rsidRDefault="00000000">
      <w:pPr>
        <w:pStyle w:val="BodyText"/>
      </w:pPr>
      <w:r>
        <w:rPr>
          <w:b/>
          <w:bCs/>
        </w:rPr>
        <w:t>19. Add an "Authors' contributions" section (incl. approval statement).</w:t>
      </w:r>
      <w:r>
        <w:t xml:space="preserve"> Added a CRediT-style contributions paragraph. — </w:t>
      </w:r>
      <w:hyperlink r:id="rId25">
        <w:r>
          <w:rPr>
            <w:rStyle w:val="Hyperlink"/>
          </w:rPr>
          <w:t>#124</w:t>
        </w:r>
      </w:hyperlink>
    </w:p>
    <w:p w14:paraId="48163ED8" w14:textId="77777777" w:rsidR="00E850AD" w:rsidRDefault="00000000">
      <w:pPr>
        <w:pStyle w:val="BodyText"/>
      </w:pPr>
      <w:r>
        <w:rPr>
          <w:b/>
          <w:bCs/>
        </w:rPr>
        <w:t>20. Authors' contributions to follow BMC editorial policy on authorship.</w:t>
      </w:r>
      <w:r>
        <w:t xml:space="preserve"> Contributions written per BMC policy, attributing specific roles to each author. — </w:t>
      </w:r>
      <w:hyperlink r:id="rId26">
        <w:r>
          <w:rPr>
            <w:rStyle w:val="Hyperlink"/>
          </w:rPr>
          <w:t>#126</w:t>
        </w:r>
      </w:hyperlink>
    </w:p>
    <w:p w14:paraId="1875CB20" w14:textId="77777777" w:rsidR="00E850AD" w:rsidRDefault="00000000">
      <w:pPr>
        <w:pStyle w:val="BodyText"/>
      </w:pPr>
      <w:r>
        <w:rPr>
          <w:b/>
          <w:bCs/>
        </w:rPr>
        <w:t>21. Include "All authors read and approved the final manuscript".</w:t>
      </w:r>
      <w:r>
        <w:t xml:space="preserve"> Added as the closing sentence of Authors' contributions. — </w:t>
      </w:r>
      <w:hyperlink r:id="rId27">
        <w:r>
          <w:rPr>
            <w:rStyle w:val="Hyperlink"/>
          </w:rPr>
          <w:t>#123</w:t>
        </w:r>
      </w:hyperlink>
    </w:p>
    <w:p w14:paraId="79FE3841" w14:textId="77777777" w:rsidR="00E850AD" w:rsidRDefault="00000000">
      <w:pPr>
        <w:pStyle w:val="Heading2"/>
      </w:pPr>
      <w:bookmarkStart w:id="5" w:name="X5336a247eff59d0d8281a8717730e60d5f03648"/>
      <w:bookmarkEnd w:id="4"/>
      <w:r>
        <w:t>Authorship (administrative — no manuscript-text change)</w:t>
      </w:r>
    </w:p>
    <w:p w14:paraId="6C40C350" w14:textId="77777777" w:rsidR="00850C56" w:rsidRDefault="00000000">
      <w:pPr>
        <w:pStyle w:val="FirstParagraph"/>
      </w:pPr>
      <w:r>
        <w:rPr>
          <w:b/>
          <w:bCs/>
        </w:rPr>
        <w:t>22. Primary corresponding author for e-proofs:</w:t>
      </w:r>
      <w:r>
        <w:t xml:space="preserve"> Brian Schilder (</w:t>
      </w:r>
      <w:hyperlink r:id="rId28">
        <w:r>
          <w:rPr>
            <w:rStyle w:val="Hyperlink"/>
          </w:rPr>
          <w:t>brian_schilder@alumni.brown.edu</w:t>
        </w:r>
      </w:hyperlink>
      <w:r>
        <w:t xml:space="preserve">) — acknowledged; reflected on the title page. </w:t>
      </w:r>
    </w:p>
    <w:p w14:paraId="716FAA24" w14:textId="77777777" w:rsidR="00850C56" w:rsidRDefault="00000000">
      <w:pPr>
        <w:pStyle w:val="FirstParagraph"/>
      </w:pPr>
      <w:r>
        <w:rPr>
          <w:b/>
          <w:bCs/>
        </w:rPr>
        <w:t>23. Institutional press release coordination:</w:t>
      </w:r>
      <w:r>
        <w:t xml:space="preserve"> acknowledged (to be communicated at resubmission if applicable). </w:t>
      </w:r>
    </w:p>
    <w:p w14:paraId="28C10735" w14:textId="0B91BF97" w:rsidR="00E850AD" w:rsidRDefault="00000000">
      <w:pPr>
        <w:pStyle w:val="FirstParagraph"/>
      </w:pPr>
      <w:r>
        <w:rPr>
          <w:b/>
          <w:bCs/>
        </w:rPr>
        <w:t>24. No authorship changes after acceptance / authorship form:</w:t>
      </w:r>
      <w:r>
        <w:t xml:space="preserve"> acknowledged; handled administratively via the editorial office.</w:t>
      </w:r>
    </w:p>
    <w:p w14:paraId="103E3DD2" w14:textId="77777777" w:rsidR="00E850AD" w:rsidRDefault="00000000">
      <w:pPr>
        <w:pStyle w:val="Heading2"/>
      </w:pPr>
      <w:bookmarkStart w:id="6" w:name="additional-files"/>
      <w:bookmarkEnd w:id="5"/>
      <w:r>
        <w:t>Additional files</w:t>
      </w:r>
    </w:p>
    <w:p w14:paraId="3ED6524B" w14:textId="77777777" w:rsidR="00E850AD" w:rsidRDefault="00000000">
      <w:pPr>
        <w:pStyle w:val="FirstParagraph"/>
      </w:pPr>
      <w:r>
        <w:rPr>
          <w:b/>
          <w:bCs/>
        </w:rPr>
        <w:t>25. Compile all supplementary figures into one file.</w:t>
      </w:r>
      <w:r>
        <w:t xml:space="preserve"> Supplementary figures compiled into a single Additional file 1 (</w:t>
      </w:r>
      <w:r>
        <w:rPr>
          <w:rStyle w:val="VerbatimChar"/>
        </w:rPr>
        <w:t>additional_file_1.pdf</w:t>
      </w:r>
      <w:r>
        <w:t xml:space="preserve">); large tables provided separately in machine-readable form. — </w:t>
      </w:r>
      <w:hyperlink r:id="rId29">
        <w:r>
          <w:rPr>
            <w:rStyle w:val="Hyperlink"/>
          </w:rPr>
          <w:t>#125</w:t>
        </w:r>
      </w:hyperlink>
    </w:p>
    <w:p w14:paraId="3F1FD925" w14:textId="77777777" w:rsidR="00E850AD" w:rsidRDefault="00000000">
      <w:pPr>
        <w:pStyle w:val="BodyText"/>
      </w:pPr>
      <w:r>
        <w:rPr>
          <w:b/>
          <w:bCs/>
        </w:rPr>
        <w:t>26. Move supplementary figure legends out of the main manuscript into the supplementary file.</w:t>
      </w:r>
      <w:r>
        <w:t xml:space="preserve"> Legends relocated into the supplementary file alongside their figures. — </w:t>
      </w:r>
      <w:hyperlink r:id="rId30">
        <w:r>
          <w:rPr>
            <w:rStyle w:val="Hyperlink"/>
          </w:rPr>
          <w:t>#121</w:t>
        </w:r>
      </w:hyperlink>
    </w:p>
    <w:p w14:paraId="43DA285F" w14:textId="77777777" w:rsidR="00E850AD" w:rsidRDefault="00000000">
      <w:pPr>
        <w:pStyle w:val="BodyText"/>
      </w:pPr>
      <w:r>
        <w:rPr>
          <w:b/>
          <w:bCs/>
        </w:rPr>
        <w:t>27. Rename supplementary files as "Additional file X" and cite in ascending order.</w:t>
      </w:r>
      <w:r>
        <w:t xml:space="preserve"> All in-text citations use the "Additional file 1: Fig. SX" / "Additional file 2: Table SX" form, cited in ascending order. — </w:t>
      </w:r>
      <w:hyperlink r:id="rId31">
        <w:r>
          <w:rPr>
            <w:rStyle w:val="Hyperlink"/>
          </w:rPr>
          <w:t>#122</w:t>
        </w:r>
      </w:hyperlink>
    </w:p>
    <w:p w14:paraId="234BACBD" w14:textId="77777777" w:rsidR="00E850AD" w:rsidRDefault="00000000">
      <w:pPr>
        <w:pStyle w:val="BodyText"/>
      </w:pPr>
      <w:r>
        <w:rPr>
          <w:b/>
          <w:bCs/>
        </w:rPr>
        <w:t>28. Prefix supplementary figure titles with "Fig S1, S2, …".</w:t>
      </w:r>
      <w:r>
        <w:t xml:space="preserve"> Supplementary figure identifiers/titles prefixed with S-numbering (via </w:t>
      </w:r>
      <w:r>
        <w:rPr>
          <w:rStyle w:val="VerbatimChar"/>
        </w:rPr>
        <w:t>\renewcommand\thefigure{S\arabic{figure}}</w:t>
      </w:r>
      <w:r>
        <w:t xml:space="preserve">) to match in-text citations. — </w:t>
      </w:r>
      <w:hyperlink r:id="rId32">
        <w:r>
          <w:rPr>
            <w:rStyle w:val="Hyperlink"/>
          </w:rPr>
          <w:t>#129</w:t>
        </w:r>
      </w:hyperlink>
    </w:p>
    <w:p w14:paraId="292E9B8A" w14:textId="77777777" w:rsidR="00E850AD" w:rsidRDefault="00000000">
      <w:pPr>
        <w:pStyle w:val="BodyText"/>
      </w:pPr>
      <w:r>
        <w:rPr>
          <w:b/>
          <w:bCs/>
        </w:rPr>
        <w:t>29. Rename table titles with "Table S1:, Table S2:, …".</w:t>
      </w:r>
      <w:r>
        <w:t xml:space="preserve"> Supplementary tables S-numbered (via </w:t>
      </w:r>
      <w:r>
        <w:rPr>
          <w:rStyle w:val="VerbatimChar"/>
        </w:rPr>
        <w:t>\renewcommand\thetable{S\arabic{table}}</w:t>
      </w:r>
      <w:r>
        <w:t xml:space="preserve">) and matched to citations; machine-readable copies written to </w:t>
      </w:r>
      <w:r>
        <w:rPr>
          <w:rStyle w:val="VerbatimChar"/>
        </w:rPr>
        <w:t>additional_file_2.xlsx</w:t>
      </w:r>
      <w:r>
        <w:t xml:space="preserve"> (one sheet per table, "Table S1"–"Table S11"). — </w:t>
      </w:r>
      <w:hyperlink r:id="rId33">
        <w:r>
          <w:rPr>
            <w:rStyle w:val="Hyperlink"/>
          </w:rPr>
          <w:t>#127</w:t>
        </w:r>
      </w:hyperlink>
    </w:p>
    <w:p w14:paraId="7C11BE8B" w14:textId="77777777" w:rsidR="00E850AD" w:rsidRDefault="00000000">
      <w:pPr>
        <w:pStyle w:val="BodyText"/>
      </w:pPr>
      <w:r>
        <w:rPr>
          <w:b/>
          <w:bCs/>
        </w:rPr>
        <w:t>30. Add an "Additional files" subsection after Declarations listing each file.</w:t>
      </w:r>
      <w:r>
        <w:t xml:space="preserve"> Added an "Additional files" subsection naming each file (Additional file 1 = supplementary figures + </w:t>
      </w:r>
      <w:r>
        <w:lastRenderedPageBreak/>
        <w:t xml:space="preserve">tables PDF; Additional file 2 = machine-readable XLSX) with titles and short descriptions. — </w:t>
      </w:r>
      <w:hyperlink r:id="rId34">
        <w:r>
          <w:rPr>
            <w:rStyle w:val="Hyperlink"/>
          </w:rPr>
          <w:t>#128</w:t>
        </w:r>
      </w:hyperlink>
    </w:p>
    <w:p w14:paraId="4FC7CA4A" w14:textId="77777777" w:rsidR="00E850AD" w:rsidRDefault="00000000">
      <w:pPr>
        <w:pStyle w:val="Heading2"/>
      </w:pPr>
      <w:bookmarkStart w:id="7" w:name="data-deposition--submission-packaging"/>
      <w:bookmarkEnd w:id="6"/>
      <w:r>
        <w:t>Data deposition / submission packaging</w:t>
      </w:r>
    </w:p>
    <w:p w14:paraId="3EA85306" w14:textId="77777777" w:rsidR="00E850AD" w:rsidRDefault="00000000">
      <w:pPr>
        <w:pStyle w:val="FirstParagraph"/>
      </w:pPr>
      <w:r>
        <w:rPr>
          <w:b/>
          <w:bCs/>
        </w:rPr>
        <w:t>Code and Software Submission Checklist (Nature Research).</w:t>
      </w:r>
      <w:r>
        <w:t xml:space="preserve"> Worked through the code/software submission requirements: canonical repo, companion R packages, tagged release + Zenodo DOI, demo dataset, and README system-requirements/usage content. — </w:t>
      </w:r>
      <w:hyperlink r:id="rId35">
        <w:r>
          <w:rPr>
            <w:rStyle w:val="Hyperlink"/>
          </w:rPr>
          <w:t>#131</w:t>
        </w:r>
      </w:hyperlink>
    </w:p>
    <w:p w14:paraId="5A85D45C" w14:textId="77777777" w:rsidR="00E850AD" w:rsidRDefault="00000000">
      <w:pPr>
        <w:pStyle w:val="Heading2"/>
      </w:pPr>
      <w:bookmarkStart w:id="8" w:name="citations"/>
      <w:bookmarkEnd w:id="7"/>
      <w:r>
        <w:t>Citations</w:t>
      </w:r>
    </w:p>
    <w:p w14:paraId="5B30BCB0" w14:textId="77777777" w:rsidR="00E850AD" w:rsidRDefault="00000000">
      <w:pPr>
        <w:pStyle w:val="FirstParagraph"/>
      </w:pPr>
      <w:r>
        <w:t>All citation fixes were applied; the manuscript was subsequently re-rendered (PDF, exit 0) with no Citeproc "citation not found" or LaTeX errors.</w:t>
      </w:r>
    </w:p>
    <w:p w14:paraId="77C3A205" w14:textId="77777777" w:rsidR="00E850A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L642</w:t>
      </w:r>
      <w:r>
        <w:t xml:space="preserve"> — Restored missing </w:t>
      </w:r>
      <w:r>
        <w:rPr>
          <w:rStyle w:val="VerbatimChar"/>
        </w:rPr>
        <w:t>@</w:t>
      </w:r>
      <w:r>
        <w:t xml:space="preserve">: </w:t>
      </w:r>
      <w:r>
        <w:rPr>
          <w:rStyle w:val="VerbatimChar"/>
        </w:rPr>
        <w:t>[resnik1995using]</w:t>
      </w:r>
      <w:r>
        <w:t xml:space="preserve"> (was rendering literally) → </w:t>
      </w:r>
      <w:r>
        <w:rPr>
          <w:rStyle w:val="VerbatimChar"/>
        </w:rPr>
        <w:t>[@resnik1995using]</w:t>
      </w:r>
      <w:r>
        <w:t>.</w:t>
      </w:r>
    </w:p>
    <w:p w14:paraId="272BA436" w14:textId="77777777" w:rsidR="00E850A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L318, L1297, L1873, L1875, L1876</w:t>
      </w:r>
      <w:r>
        <w:t xml:space="preserve"> — Multi-citations separated by commas → semicolons (Pandoc/Quarto requirement).</w:t>
      </w:r>
    </w:p>
    <w:p w14:paraId="504771F9" w14:textId="77777777" w:rsidR="00E850A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L1813, L2002</w:t>
      </w:r>
      <w:r>
        <w:t xml:space="preserve"> — Removed stray trailing period in citation key: </w:t>
      </w:r>
      <w:r>
        <w:rPr>
          <w:rStyle w:val="VerbatimChar"/>
        </w:rPr>
        <w:t>@vilcaesGangliosideSynthesisPlasma2020.</w:t>
      </w:r>
      <w:r>
        <w:t xml:space="preserve"> → </w:t>
      </w:r>
      <w:r>
        <w:rPr>
          <w:rStyle w:val="VerbatimChar"/>
        </w:rPr>
        <w:t>…2020</w:t>
      </w:r>
      <w:r>
        <w:t>.</w:t>
      </w:r>
    </w:p>
    <w:p w14:paraId="5FEC4CCD" w14:textId="77777777" w:rsidR="00E850A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L1913</w:t>
      </w:r>
      <w:r>
        <w:t xml:space="preserve"> — HPO dataset was cited with the GenCC references </w:t>
      </w:r>
      <w:r>
        <w:rPr>
          <w:rStyle w:val="VerbatimChar"/>
        </w:rPr>
        <w:t>[@DiStefano2022-ao; @DiStefano2023-np]</w:t>
      </w:r>
      <w:r>
        <w:t xml:space="preserve"> → </w:t>
      </w:r>
      <w:r>
        <w:rPr>
          <w:rStyle w:val="VerbatimChar"/>
        </w:rPr>
        <w:t>[@Gargano2024-fc]</w:t>
      </w:r>
      <w:r>
        <w:t>.</w:t>
      </w:r>
    </w:p>
    <w:p w14:paraId="074B2B2B" w14:textId="77777777" w:rsidR="00E850A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L1298</w:t>
      </w:r>
      <w:r>
        <w:t xml:space="preserve"> — De-duplicated Cao 2020 (Descartes): </w:t>
      </w:r>
      <w:r>
        <w:rPr>
          <w:rStyle w:val="VerbatimChar"/>
        </w:rPr>
        <w:t>@cao2020</w:t>
      </w:r>
      <w:r>
        <w:t xml:space="preserve"> → </w:t>
      </w:r>
      <w:r>
        <w:rPr>
          <w:rStyle w:val="VerbatimChar"/>
        </w:rPr>
        <w:t>@Cao2020-qz</w:t>
      </w:r>
      <w:r>
        <w:t>.</w:t>
      </w:r>
    </w:p>
    <w:p w14:paraId="69C3CA2A" w14:textId="77777777" w:rsidR="00E850A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L496</w:t>
      </w:r>
      <w:r>
        <w:t xml:space="preserve"> — De-duplicated Skene 2016 (EWCE): </w:t>
      </w:r>
      <w:r>
        <w:rPr>
          <w:rStyle w:val="VerbatimChar"/>
        </w:rPr>
        <w:t>@skene2016</w:t>
      </w:r>
      <w:r>
        <w:t xml:space="preserve"> → </w:t>
      </w:r>
      <w:r>
        <w:rPr>
          <w:rStyle w:val="VerbatimChar"/>
        </w:rPr>
        <w:t>@Skene2016-rb</w:t>
      </w:r>
      <w:r>
        <w:t>.</w:t>
      </w:r>
    </w:p>
    <w:p w14:paraId="172F9A48" w14:textId="77777777" w:rsidR="00E850AD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L880</w:t>
      </w:r>
      <w:r>
        <w:t xml:space="preserve"> — De-duplicated GenCC/DiStefano 2022: </w:t>
      </w:r>
      <w:r>
        <w:rPr>
          <w:rStyle w:val="VerbatimChar"/>
        </w:rPr>
        <w:t>@distefanoGeneCurationCoalition2022</w:t>
      </w:r>
      <w:r>
        <w:t xml:space="preserve"> → </w:t>
      </w:r>
      <w:r>
        <w:rPr>
          <w:rStyle w:val="VerbatimChar"/>
        </w:rPr>
        <w:t>@DiStefano2022-ao</w:t>
      </w:r>
      <w:r>
        <w:t>.</w:t>
      </w:r>
    </w:p>
    <w:p w14:paraId="183E7AA6" w14:textId="77777777" w:rsidR="00E850AD" w:rsidRDefault="00000000">
      <w:pPr>
        <w:pStyle w:val="Compact"/>
        <w:numPr>
          <w:ilvl w:val="0"/>
          <w:numId w:val="2"/>
        </w:numPr>
      </w:pPr>
      <w:r>
        <w:rPr>
          <w:rStyle w:val="VerbatimChar"/>
          <w:b/>
          <w:bCs/>
        </w:rPr>
        <w:t>references.bib</w:t>
      </w:r>
      <w:r>
        <w:t xml:space="preserve"> — Removed the three now-unused duplicate entries (</w:t>
      </w:r>
      <w:r>
        <w:rPr>
          <w:rStyle w:val="VerbatimChar"/>
        </w:rPr>
        <w:t>cao2020</w:t>
      </w:r>
      <w:r>
        <w:t xml:space="preserve">, </w:t>
      </w:r>
      <w:r>
        <w:rPr>
          <w:rStyle w:val="VerbatimChar"/>
        </w:rPr>
        <w:t>skene2016</w:t>
      </w:r>
      <w:r>
        <w:t xml:space="preserve">, </w:t>
      </w:r>
      <w:r>
        <w:rPr>
          <w:rStyle w:val="VerbatimChar"/>
        </w:rPr>
        <w:t>distefanoGeneCurationCoalition2022</w:t>
      </w:r>
      <w:r>
        <w:t>).</w:t>
      </w:r>
    </w:p>
    <w:p w14:paraId="2FF3F884" w14:textId="77777777" w:rsidR="00E850AD" w:rsidRDefault="00000000">
      <w:pPr>
        <w:pStyle w:val="Heading2"/>
      </w:pPr>
      <w:bookmarkStart w:id="9" w:name="Xc177d2d7e756cd90bb02b7b476224a60cbf6b9b"/>
      <w:bookmarkEnd w:id="8"/>
      <w:r>
        <w:t>Acronyms (definition / ordering — partly arising from the Methods→Results move)</w:t>
      </w:r>
    </w:p>
    <w:p w14:paraId="3D919AFF" w14:textId="77777777" w:rsidR="00E850A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L468 / L885</w:t>
      </w:r>
      <w:r>
        <w:t xml:space="preserve"> — </w:t>
      </w:r>
      <w:r>
        <w:rPr>
          <w:rStyle w:val="VerbatimChar"/>
        </w:rPr>
        <w:t>FDR</w:t>
      </w:r>
      <w:r>
        <w:t xml:space="preserve"> now defined at first Methods use (L468); de-duplicated the later L885 expansion.</w:t>
      </w:r>
    </w:p>
    <w:p w14:paraId="15F40793" w14:textId="77777777" w:rsidR="00E850A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L497 / L656 / L1184</w:t>
      </w:r>
      <w:r>
        <w:t xml:space="preserve"> — </w:t>
      </w:r>
      <w:r>
        <w:rPr>
          <w:rStyle w:val="VerbatimChar"/>
        </w:rPr>
        <w:t>MKG</w:t>
      </w:r>
      <w:r>
        <w:t xml:space="preserve"> now defined at first use (L497, "Monarch Knowledge Graph (MKG)"); later expansions reduced to </w:t>
      </w:r>
      <w:r>
        <w:rPr>
          <w:rStyle w:val="VerbatimChar"/>
        </w:rPr>
        <w:t>MKG</w:t>
      </w:r>
      <w:r>
        <w:t>.</w:t>
      </w:r>
    </w:p>
    <w:p w14:paraId="4DD34B33" w14:textId="77777777" w:rsidR="00E850AD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L459 / L573</w:t>
      </w:r>
      <w:r>
        <w:t xml:space="preserve"> — </w:t>
      </w:r>
      <w:r>
        <w:rPr>
          <w:rStyle w:val="VerbatimChar"/>
        </w:rPr>
        <w:t>GLM</w:t>
      </w:r>
      <w:r>
        <w:t xml:space="preserve"> defined at L459 ("generalised linear models (GLMs)"); "GLM model's" → "GLM's" at L573.</w:t>
      </w:r>
    </w:p>
    <w:p w14:paraId="3DF8B13A" w14:textId="77777777" w:rsidR="00E850AD" w:rsidRDefault="00000000">
      <w:pPr>
        <w:pStyle w:val="Heading2"/>
      </w:pPr>
      <w:bookmarkStart w:id="10" w:name="spelling-typos"/>
      <w:bookmarkEnd w:id="9"/>
      <w:r>
        <w:t>Spelling typos</w:t>
      </w:r>
    </w:p>
    <w:p w14:paraId="08B3E5C6" w14:textId="77777777" w:rsidR="00E850A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L412</w:t>
      </w:r>
      <w:r>
        <w:t xml:space="preserve"> — "very no expression" → "very low expression".</w:t>
      </w:r>
    </w:p>
    <w:p w14:paraId="78829F63" w14:textId="77777777" w:rsidR="00E850A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L471</w:t>
      </w:r>
      <w:r>
        <w:t xml:space="preserve"> — "This be described as follows." → "This can be described as follows."</w:t>
      </w:r>
    </w:p>
    <w:p w14:paraId="46299D96" w14:textId="77777777" w:rsidR="00E850A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L521, L522</w:t>
      </w:r>
      <w:r>
        <w:t xml:space="preserve"> — "Heachache" → "Headache" (×2).</w:t>
      </w:r>
    </w:p>
    <w:p w14:paraId="458F70AA" w14:textId="77777777" w:rsidR="00E850A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lastRenderedPageBreak/>
        <w:t>L684</w:t>
      </w:r>
      <w:r>
        <w:t xml:space="preserve"> — "the the phenotypes" → "the phenotypes".</w:t>
      </w:r>
    </w:p>
    <w:p w14:paraId="2AE1F630" w14:textId="77777777" w:rsidR="00E850A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L1291</w:t>
      </w:r>
      <w:r>
        <w:t xml:space="preserve"> — "deficiences" → "deficiencies".</w:t>
      </w:r>
    </w:p>
    <w:p w14:paraId="39AE4D67" w14:textId="77777777" w:rsidR="00E850A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L1299, L1300</w:t>
      </w:r>
      <w:r>
        <w:t xml:space="preserve"> — alpha-fetoprotein "AFB" → "AFP"; "AFB+/ALB+" → "AFP+/ALB+".</w:t>
      </w:r>
    </w:p>
    <w:p w14:paraId="6EDC4A92" w14:textId="77777777" w:rsidR="00E850A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L1306</w:t>
      </w:r>
      <w:r>
        <w:t xml:space="preserve"> — "eevidence" → "evidence".</w:t>
      </w:r>
    </w:p>
    <w:p w14:paraId="1425C14C" w14:textId="77777777" w:rsidR="00E850A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L1476</w:t>
      </w:r>
      <w:r>
        <w:t xml:space="preserve"> — "development context" → "developmental context"; "significantly different differs from" → "significantly differs from"; "feotal" → "foetal".</w:t>
      </w:r>
    </w:p>
    <w:p w14:paraId="077536A3" w14:textId="77777777" w:rsidR="00E850A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L1537</w:t>
      </w:r>
      <w:r>
        <w:t xml:space="preserve"> — "assocations" → "associations".</w:t>
      </w:r>
    </w:p>
    <w:p w14:paraId="36BDBD45" w14:textId="77777777" w:rsidR="00E850A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L1538</w:t>
      </w:r>
      <w:r>
        <w:t xml:space="preserve"> — "disproportiate" → "disproportionate".</w:t>
      </w:r>
    </w:p>
    <w:p w14:paraId="2812C06E" w14:textId="77777777" w:rsidR="00E850A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L1539</w:t>
      </w:r>
      <w:r>
        <w:t xml:space="preserve"> — "brances" → "branches".</w:t>
      </w:r>
    </w:p>
    <w:p w14:paraId="726D16EC" w14:textId="77777777" w:rsidR="00E850A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L1685</w:t>
      </w:r>
      <w:r>
        <w:t xml:space="preserve"> — "heptocytes" → "hepatocytes".</w:t>
      </w:r>
    </w:p>
    <w:p w14:paraId="5E154934" w14:textId="77777777" w:rsidR="00E850A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L1739</w:t>
      </w:r>
      <w:r>
        <w:t xml:space="preserve"> — "non-congential" → "non-congenital".</w:t>
      </w:r>
    </w:p>
    <w:p w14:paraId="71A63843" w14:textId="77777777" w:rsidR="00E850A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L1832</w:t>
      </w:r>
      <w:r>
        <w:t xml:space="preserve"> — "therapeutics targets" → "therapeutic targets"; "include;" → "include:"; "dyplasia" → "dysplasia".</w:t>
      </w:r>
    </w:p>
    <w:p w14:paraId="10C96385" w14:textId="77777777" w:rsidR="00E850A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L2010</w:t>
      </w:r>
      <w:r>
        <w:t xml:space="preserve"> — "Boucher-Nenhauser syndrome" → "Boucher-Neuhäuser syndrome".</w:t>
      </w:r>
    </w:p>
    <w:p w14:paraId="18FB9E7D" w14:textId="77777777" w:rsidR="00E850A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L2014</w:t>
      </w:r>
      <w:r>
        <w:t xml:space="preserve"> — "Parkinsons' disease" → "Parkinson's disease".</w:t>
      </w:r>
    </w:p>
    <w:p w14:paraId="07FBEB98" w14:textId="77777777" w:rsidR="00E850A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L2017</w:t>
      </w:r>
      <w:r>
        <w:t xml:space="preserve"> — "this diseases" → "this disease".</w:t>
      </w:r>
    </w:p>
    <w:p w14:paraId="6689D2F3" w14:textId="77777777" w:rsidR="00E850A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L2073</w:t>
      </w:r>
      <w:r>
        <w:t xml:space="preserve"> — "at least on non-human species" → "at least one non-human species".</w:t>
      </w:r>
    </w:p>
    <w:p w14:paraId="506E9EF9" w14:textId="77777777" w:rsidR="00E850A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L2082</w:t>
      </w:r>
      <w:r>
        <w:t xml:space="preserve"> — "GenCCC" → "GenCC".</w:t>
      </w:r>
    </w:p>
    <w:p w14:paraId="3ED5A979" w14:textId="77777777" w:rsidR="00E850A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L2084</w:t>
      </w:r>
      <w:r>
        <w:t xml:space="preserve"> — Invalid chunk option </w:t>
      </w:r>
      <w:r>
        <w:rPr>
          <w:rStyle w:val="VerbatimChar"/>
        </w:rPr>
        <w:t>#| fig-weight: 8</w:t>
      </w:r>
      <w:r>
        <w:t xml:space="preserve"> → </w:t>
      </w:r>
      <w:r>
        <w:rPr>
          <w:rStyle w:val="VerbatimChar"/>
        </w:rPr>
        <w:t>#| fig-width: 8</w:t>
      </w:r>
      <w:r>
        <w:t>.</w:t>
      </w:r>
    </w:p>
    <w:p w14:paraId="25D359D4" w14:textId="77777777" w:rsidR="00E850A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L2193</w:t>
      </w:r>
      <w:r>
        <w:t xml:space="preserve"> — "annotated to the phenotypic within the HPO" → "to the phenotype within the HPO".</w:t>
      </w:r>
    </w:p>
    <w:p w14:paraId="3829EFCF" w14:textId="77777777" w:rsidR="00E850A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L2368</w:t>
      </w:r>
      <w:r>
        <w:t xml:space="preserve"> — "pipleline" → "pipeline".</w:t>
      </w:r>
    </w:p>
    <w:p w14:paraId="3BE1B137" w14:textId="77777777" w:rsidR="00E850A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L2474</w:t>
      </w:r>
      <w:r>
        <w:t xml:space="preserve"> — "(</w:t>
      </w:r>
      <w:r>
        <w:rPr>
          <w:i/>
          <w:iCs/>
        </w:rPr>
        <w:t>nullc cor</w:t>
      </w:r>
      <w:r>
        <w:t>)" → "(</w:t>
      </w:r>
      <w:r>
        <w:rPr>
          <w:i/>
          <w:iCs/>
        </w:rPr>
        <w:t>null cor</w:t>
      </w:r>
      <w:r>
        <w:t>)".</w:t>
      </w:r>
    </w:p>
    <w:p w14:paraId="5C585CBA" w14:textId="77777777" w:rsidR="00E850A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L2581</w:t>
      </w:r>
      <w:r>
        <w:t xml:space="preserve"> — "categories or more biased" → "categories are more biased".</w:t>
      </w:r>
    </w:p>
    <w:p w14:paraId="44EA2BEE" w14:textId="77777777" w:rsidR="00E850A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L770</w:t>
      </w:r>
      <w:r>
        <w:t xml:space="preserve"> — "Phenotypes categories" → "Phenotype categories"; "enrichment a p-value" → "enrichment p-value".</w:t>
      </w:r>
    </w:p>
    <w:p w14:paraId="66A41390" w14:textId="77777777" w:rsidR="00E850A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L772</w:t>
      </w:r>
      <w:r>
        <w:t xml:space="preserve"> — "phenotype s." → "phenotypes."</w:t>
      </w:r>
    </w:p>
    <w:p w14:paraId="3F8F6DCE" w14:textId="77777777" w:rsidR="00E850A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L774</w:t>
      </w:r>
      <w:r>
        <w:t xml:space="preserve"> — "for each group cell types" → "for each group of cell types".</w:t>
      </w:r>
    </w:p>
    <w:p w14:paraId="7C74404A" w14:textId="77777777" w:rsidR="00E850AD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L775</w:t>
      </w:r>
      <w:r>
        <w:t xml:space="preserve"> — "Significiantly" → "Significantly".</w:t>
      </w:r>
    </w:p>
    <w:p w14:paraId="12D34987" w14:textId="77777777" w:rsidR="00E850AD" w:rsidRDefault="00000000">
      <w:pPr>
        <w:pStyle w:val="Heading2"/>
      </w:pPr>
      <w:bookmarkStart w:id="11" w:name="grammar--wording--fragments--redundancy"/>
      <w:bookmarkEnd w:id="10"/>
      <w:r>
        <w:t>Grammar / wording / fragments / redundancy</w:t>
      </w:r>
    </w:p>
    <w:p w14:paraId="4EB87012" w14:textId="77777777" w:rsidR="00E850A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L320</w:t>
      </w:r>
      <w:r>
        <w:t xml:space="preserve"> — Inserted missing verb: "which (as of X) </w:t>
      </w:r>
      <w:r>
        <w:rPr>
          <w:b/>
          <w:bCs/>
        </w:rPr>
        <w:t>contains</w:t>
      </w:r>
      <w:r>
        <w:t xml:space="preserve"> N evidence scores across…".</w:t>
      </w:r>
    </w:p>
    <w:p w14:paraId="14B04CF1" w14:textId="77777777" w:rsidR="00E850A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L519</w:t>
      </w:r>
      <w:r>
        <w:t xml:space="preserve"> — Word order: "across different N diseases" → "across N different diseases".</w:t>
      </w:r>
    </w:p>
    <w:p w14:paraId="4A846A54" w14:textId="77777777" w:rsidR="00E850A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L1670</w:t>
      </w:r>
      <w:r>
        <w:t xml:space="preserve"> — "(ie. …)" → "(i.e. …)".</w:t>
      </w:r>
    </w:p>
    <w:p w14:paraId="54EFFBDF" w14:textId="77777777" w:rsidR="00E850A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L1692</w:t>
      </w:r>
      <w:r>
        <w:t xml:space="preserve"> — "the fact that … preclude us" → "precludes us".</w:t>
      </w:r>
    </w:p>
    <w:p w14:paraId="159E6E4F" w14:textId="77777777" w:rsidR="00E850A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L1829</w:t>
      </w:r>
      <w:r>
        <w:t xml:space="preserve"> — "is a phenotype by multiple serious diseases" → "is a phenotype </w:t>
      </w:r>
      <w:r>
        <w:rPr>
          <w:b/>
          <w:bCs/>
        </w:rPr>
        <w:t>caused</w:t>
      </w:r>
      <w:r>
        <w:t xml:space="preserve"> by…".</w:t>
      </w:r>
    </w:p>
    <w:p w14:paraId="79FA8D6F" w14:textId="77777777" w:rsidR="00E850A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L1830</w:t>
      </w:r>
      <w:r>
        <w:t xml:space="preserve"> — Removed repeated "conditions": "…(&gt;8 genes), </w:t>
      </w:r>
      <w:r>
        <w:rPr>
          <w:b/>
          <w:bCs/>
        </w:rPr>
        <w:t>they</w:t>
      </w:r>
      <w:r>
        <w:t xml:space="preserve"> converge…".</w:t>
      </w:r>
    </w:p>
    <w:p w14:paraId="1C10D922" w14:textId="77777777" w:rsidR="00E850A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lastRenderedPageBreak/>
        <w:t>L1832→L1833</w:t>
      </w:r>
      <w:r>
        <w:t xml:space="preserve"> — Fixed stray sentence break: "…Parkinson's disease (…). and multiple…" → "…(…)</w:t>
      </w:r>
      <w:r>
        <w:rPr>
          <w:b/>
          <w:bCs/>
        </w:rPr>
        <w:t>,</w:t>
      </w:r>
      <w:r>
        <w:t xml:space="preserve"> and multiple…".</w:t>
      </w:r>
    </w:p>
    <w:p w14:paraId="4D669FED" w14:textId="77777777" w:rsidR="00E850A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L1984</w:t>
      </w:r>
      <w:r>
        <w:t xml:space="preserve"> — Rewrote fragment: "To test whether some cell types…" → "</w:t>
      </w:r>
      <w:r>
        <w:rPr>
          <w:b/>
          <w:bCs/>
        </w:rPr>
        <w:t>We sought to test</w:t>
      </w:r>
      <w:r>
        <w:t xml:space="preserve"> whether…"; following sentence "To test this…" → "</w:t>
      </w:r>
      <w:r>
        <w:rPr>
          <w:b/>
          <w:bCs/>
        </w:rPr>
        <w:t>To do this</w:t>
      </w:r>
      <w:r>
        <w:t>…".</w:t>
      </w:r>
    </w:p>
    <w:p w14:paraId="7512383D" w14:textId="77777777" w:rsidR="00E850A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L1989</w:t>
      </w:r>
      <w:r>
        <w:t xml:space="preserve"> — "Thus there the same cell types…" → "Thus the same cell types…".</w:t>
      </w:r>
    </w:p>
    <w:p w14:paraId="570460A3" w14:textId="77777777" w:rsidR="00E850A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L2016</w:t>
      </w:r>
      <w:r>
        <w:t xml:space="preserve"> — Removed duplicated "therefore".</w:t>
      </w:r>
    </w:p>
    <w:p w14:paraId="5DFC3D62" w14:textId="77777777" w:rsidR="00E850A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L2028</w:t>
      </w:r>
      <w:r>
        <w:t xml:space="preserve"> — Completed incomplete sentence (author-supplied detail): "…'Platyspondylic lethal skeletal dysplasia, Torrance type'." → "… </w:t>
      </w:r>
      <w:r>
        <w:rPr>
          <w:b/>
          <w:bCs/>
        </w:rPr>
        <w:t xml:space="preserve">was associated with chondrocytes via </w:t>
      </w:r>
      <w:r>
        <w:rPr>
          <w:b/>
          <w:bCs/>
          <w:i/>
          <w:iCs/>
        </w:rPr>
        <w:t>SLC26A2</w:t>
      </w:r>
      <w:r>
        <w:rPr>
          <w:b/>
          <w:bCs/>
        </w:rPr>
        <w:t xml:space="preserve"> and </w:t>
      </w:r>
      <w:r>
        <w:rPr>
          <w:b/>
          <w:bCs/>
          <w:i/>
          <w:iCs/>
        </w:rPr>
        <w:t>COL2A1</w:t>
      </w:r>
      <w:r>
        <w:rPr>
          <w:b/>
          <w:bCs/>
        </w:rPr>
        <w:t>.</w:t>
      </w:r>
      <w:r>
        <w:t>"</w:t>
      </w:r>
    </w:p>
    <w:p w14:paraId="30CBAF38" w14:textId="77777777" w:rsidR="00E850AD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>L2582</w:t>
      </w:r>
      <w:r>
        <w:t xml:space="preserve"> — Completed fragment (author wording): "…the adult versions of cell types </w:t>
      </w:r>
      <w:r>
        <w:rPr>
          <w:b/>
          <w:bCs/>
        </w:rPr>
        <w:t>are shown</w:t>
      </w:r>
      <w:r>
        <w:t>."</w:t>
      </w:r>
    </w:p>
    <w:p w14:paraId="110DD049" w14:textId="77777777" w:rsidR="00E850AD" w:rsidRDefault="00000000">
      <w:pPr>
        <w:pStyle w:val="Heading2"/>
      </w:pPr>
      <w:bookmarkStart w:id="12" w:name="consistency--factual"/>
      <w:bookmarkEnd w:id="11"/>
      <w:r>
        <w:t>Consistency / factual</w:t>
      </w:r>
    </w:p>
    <w:p w14:paraId="59FC4B4C" w14:textId="77777777" w:rsidR="00E850A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L283</w:t>
      </w:r>
      <w:r>
        <w:t xml:space="preserve"> — Corrected stage coverage: Descartes is foetal-only, so "cover embryonic to adult stages across tissues" → "</w:t>
      </w:r>
      <w:r>
        <w:rPr>
          <w:b/>
          <w:bCs/>
        </w:rPr>
        <w:t>together span</w:t>
      </w:r>
      <w:r>
        <w:t xml:space="preserve"> embryonic, foetal, and adult stages across tissues".</w:t>
      </w:r>
    </w:p>
    <w:p w14:paraId="3EE18717" w14:textId="77777777" w:rsidR="00E850A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L291</w:t>
      </w:r>
      <w:r>
        <w:t xml:space="preserve"> — Capitalisation: "recurrent neisserial infections" → "recurrent </w:t>
      </w:r>
      <w:r>
        <w:rPr>
          <w:b/>
          <w:bCs/>
        </w:rPr>
        <w:t>N</w:t>
      </w:r>
      <w:r>
        <w:t>eisserial infections".</w:t>
      </w:r>
    </w:p>
    <w:p w14:paraId="6D084715" w14:textId="77777777" w:rsidR="00E850A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L786</w:t>
      </w:r>
      <w:r>
        <w:t xml:space="preserve"> — "GPT4" → "GPT-4".</w:t>
      </w:r>
    </w:p>
    <w:p w14:paraId="719BE6A3" w14:textId="77777777" w:rsidR="00E850A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L1829, L2019</w:t>
      </w:r>
      <w:r>
        <w:t xml:space="preserve"> — Phenotype name aligned to the exact HPO term used in code/figures: "Neuronal loss in </w:t>
      </w:r>
      <w:r>
        <w:rPr>
          <w:b/>
          <w:bCs/>
        </w:rPr>
        <w:t>the</w:t>
      </w:r>
      <w:r>
        <w:t xml:space="preserve"> central nervous system" → "Neuronal loss in central nervous system".</w:t>
      </w:r>
    </w:p>
    <w:p w14:paraId="04EBFEB8" w14:textId="77777777" w:rsidR="00E850A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L2016 (label)</w:t>
      </w:r>
      <w:r>
        <w:t xml:space="preserve"> — Cell-type label made consistent: "M2 microglia" → "M2 macrophages" (matches L2012–L2013).</w:t>
      </w:r>
    </w:p>
    <w:p w14:paraId="6C9783ED" w14:textId="77777777" w:rsidR="00E850AD" w:rsidRDefault="00000000">
      <w:pPr>
        <w:pStyle w:val="Compact"/>
        <w:numPr>
          <w:ilvl w:val="0"/>
          <w:numId w:val="6"/>
        </w:numPr>
      </w:pPr>
      <w:r>
        <w:rPr>
          <w:b/>
          <w:bCs/>
        </w:rPr>
        <w:t>L404</w:t>
      </w:r>
      <w:r>
        <w:t xml:space="preserve"> — Clarified the apparent cell-count discrepancy with L883: "This dataset contains 377,456 cells representing 77 distinct cell types across 15 tissues." → "After filtering and down-sampling, this dataset comprised 377,456 cells (from the ~4 million in the full atlas) representing 77 distinct cell types across 15 tissues."</w:t>
      </w:r>
    </w:p>
    <w:p w14:paraId="0BAD05F3" w14:textId="77777777" w:rsidR="00E850AD" w:rsidRDefault="00000000">
      <w:pPr>
        <w:pStyle w:val="Heading2"/>
      </w:pPr>
      <w:bookmarkStart w:id="13" w:name="X3deebcde1e2d064823faa2b15798c993f3096c4"/>
      <w:bookmarkEnd w:id="12"/>
      <w:r>
        <w:t>Flagged — left unchanged per author decision</w:t>
      </w:r>
    </w:p>
    <w:p w14:paraId="07C9EF82" w14:textId="77777777" w:rsidR="00E850A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L1188–L1189</w:t>
      </w:r>
      <w:r>
        <w:t xml:space="preserve"> — Hard-coded "90%" alongside the dynamically computed value at L1191; author chose to leave as-is (intentional/approximate).</w:t>
      </w:r>
      <w:bookmarkEnd w:id="0"/>
      <w:bookmarkEnd w:id="13"/>
    </w:p>
    <w:sectPr w:rsidR="00E850A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EA4B6F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4D3C54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00A99419"/>
    <w:multiLevelType w:val="multilevel"/>
    <w:tmpl w:val="7E80975C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A994112"/>
    <w:multiLevelType w:val="multilevel"/>
    <w:tmpl w:val="5E0AFDA4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A994140"/>
    <w:multiLevelType w:val="multilevel"/>
    <w:tmpl w:val="735037D0"/>
    <w:lvl w:ilvl="0">
      <w:start w:val="40"/>
      <w:numFmt w:val="decimal"/>
      <w:lvlText w:val="%1."/>
      <w:lvlJc w:val="left"/>
      <w:pPr>
        <w:ind w:left="720" w:hanging="360"/>
      </w:pPr>
    </w:lvl>
    <w:lvl w:ilvl="1">
      <w:start w:val="40"/>
      <w:numFmt w:val="decimal"/>
      <w:lvlText w:val="%2."/>
      <w:lvlJc w:val="left"/>
      <w:pPr>
        <w:ind w:left="1440" w:hanging="360"/>
      </w:pPr>
    </w:lvl>
    <w:lvl w:ilvl="2">
      <w:start w:val="40"/>
      <w:numFmt w:val="decimal"/>
      <w:lvlText w:val="%3."/>
      <w:lvlJc w:val="left"/>
      <w:pPr>
        <w:ind w:left="2160" w:hanging="360"/>
      </w:pPr>
    </w:lvl>
    <w:lvl w:ilvl="3">
      <w:start w:val="40"/>
      <w:numFmt w:val="decimal"/>
      <w:lvlText w:val="%4."/>
      <w:lvlJc w:val="left"/>
      <w:pPr>
        <w:ind w:left="2880" w:hanging="360"/>
      </w:pPr>
    </w:lvl>
    <w:lvl w:ilvl="4">
      <w:start w:val="40"/>
      <w:numFmt w:val="decimal"/>
      <w:lvlText w:val="%5."/>
      <w:lvlJc w:val="left"/>
      <w:pPr>
        <w:ind w:left="3600" w:hanging="360"/>
      </w:pPr>
    </w:lvl>
    <w:lvl w:ilvl="5">
      <w:start w:val="40"/>
      <w:numFmt w:val="decimal"/>
      <w:lvlText w:val="%6."/>
      <w:lvlJc w:val="left"/>
      <w:pPr>
        <w:ind w:left="4320" w:hanging="360"/>
      </w:pPr>
    </w:lvl>
    <w:lvl w:ilvl="6">
      <w:start w:val="40"/>
      <w:numFmt w:val="decimal"/>
      <w:lvlText w:val="%7."/>
      <w:lvlJc w:val="left"/>
      <w:pPr>
        <w:ind w:left="5040" w:hanging="360"/>
      </w:pPr>
    </w:lvl>
    <w:lvl w:ilvl="7">
      <w:start w:val="40"/>
      <w:numFmt w:val="decimal"/>
      <w:lvlText w:val="%8."/>
      <w:lvlJc w:val="left"/>
      <w:pPr>
        <w:ind w:left="5760" w:hanging="360"/>
      </w:pPr>
    </w:lvl>
    <w:lvl w:ilvl="8">
      <w:start w:val="40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A994152"/>
    <w:multiLevelType w:val="multilevel"/>
    <w:tmpl w:val="49C45C6A"/>
    <w:lvl w:ilvl="0">
      <w:start w:val="52"/>
      <w:numFmt w:val="decimal"/>
      <w:lvlText w:val="%1."/>
      <w:lvlJc w:val="left"/>
      <w:pPr>
        <w:ind w:left="720" w:hanging="360"/>
      </w:pPr>
    </w:lvl>
    <w:lvl w:ilvl="1">
      <w:start w:val="52"/>
      <w:numFmt w:val="decimal"/>
      <w:lvlText w:val="%2."/>
      <w:lvlJc w:val="left"/>
      <w:pPr>
        <w:ind w:left="1440" w:hanging="360"/>
      </w:pPr>
    </w:lvl>
    <w:lvl w:ilvl="2">
      <w:start w:val="52"/>
      <w:numFmt w:val="decimal"/>
      <w:lvlText w:val="%3."/>
      <w:lvlJc w:val="left"/>
      <w:pPr>
        <w:ind w:left="2160" w:hanging="360"/>
      </w:pPr>
    </w:lvl>
    <w:lvl w:ilvl="3">
      <w:start w:val="52"/>
      <w:numFmt w:val="decimal"/>
      <w:lvlText w:val="%4."/>
      <w:lvlJc w:val="left"/>
      <w:pPr>
        <w:ind w:left="2880" w:hanging="360"/>
      </w:pPr>
    </w:lvl>
    <w:lvl w:ilvl="4">
      <w:start w:val="52"/>
      <w:numFmt w:val="decimal"/>
      <w:lvlText w:val="%5."/>
      <w:lvlJc w:val="left"/>
      <w:pPr>
        <w:ind w:left="3600" w:hanging="360"/>
      </w:pPr>
    </w:lvl>
    <w:lvl w:ilvl="5">
      <w:start w:val="52"/>
      <w:numFmt w:val="decimal"/>
      <w:lvlText w:val="%6."/>
      <w:lvlJc w:val="left"/>
      <w:pPr>
        <w:ind w:left="4320" w:hanging="360"/>
      </w:pPr>
    </w:lvl>
    <w:lvl w:ilvl="6">
      <w:start w:val="52"/>
      <w:numFmt w:val="decimal"/>
      <w:lvlText w:val="%7."/>
      <w:lvlJc w:val="left"/>
      <w:pPr>
        <w:ind w:left="5040" w:hanging="360"/>
      </w:pPr>
    </w:lvl>
    <w:lvl w:ilvl="7">
      <w:start w:val="52"/>
      <w:numFmt w:val="decimal"/>
      <w:lvlText w:val="%8."/>
      <w:lvlJc w:val="left"/>
      <w:pPr>
        <w:ind w:left="5760" w:hanging="360"/>
      </w:pPr>
    </w:lvl>
    <w:lvl w:ilvl="8">
      <w:start w:val="52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A994158"/>
    <w:multiLevelType w:val="multilevel"/>
    <w:tmpl w:val="1E6EDD48"/>
    <w:lvl w:ilvl="0">
      <w:start w:val="58"/>
      <w:numFmt w:val="decimal"/>
      <w:lvlText w:val="%1."/>
      <w:lvlJc w:val="left"/>
      <w:pPr>
        <w:ind w:left="720" w:hanging="360"/>
      </w:pPr>
    </w:lvl>
    <w:lvl w:ilvl="1">
      <w:start w:val="58"/>
      <w:numFmt w:val="decimal"/>
      <w:lvlText w:val="%2."/>
      <w:lvlJc w:val="left"/>
      <w:pPr>
        <w:ind w:left="1440" w:hanging="360"/>
      </w:pPr>
    </w:lvl>
    <w:lvl w:ilvl="2">
      <w:start w:val="58"/>
      <w:numFmt w:val="decimal"/>
      <w:lvlText w:val="%3."/>
      <w:lvlJc w:val="left"/>
      <w:pPr>
        <w:ind w:left="2160" w:hanging="360"/>
      </w:pPr>
    </w:lvl>
    <w:lvl w:ilvl="3">
      <w:start w:val="58"/>
      <w:numFmt w:val="decimal"/>
      <w:lvlText w:val="%4."/>
      <w:lvlJc w:val="left"/>
      <w:pPr>
        <w:ind w:left="2880" w:hanging="360"/>
      </w:pPr>
    </w:lvl>
    <w:lvl w:ilvl="4">
      <w:start w:val="58"/>
      <w:numFmt w:val="decimal"/>
      <w:lvlText w:val="%5."/>
      <w:lvlJc w:val="left"/>
      <w:pPr>
        <w:ind w:left="3600" w:hanging="360"/>
      </w:pPr>
    </w:lvl>
    <w:lvl w:ilvl="5">
      <w:start w:val="58"/>
      <w:numFmt w:val="decimal"/>
      <w:lvlText w:val="%6."/>
      <w:lvlJc w:val="left"/>
      <w:pPr>
        <w:ind w:left="4320" w:hanging="360"/>
      </w:pPr>
    </w:lvl>
    <w:lvl w:ilvl="6">
      <w:start w:val="58"/>
      <w:numFmt w:val="decimal"/>
      <w:lvlText w:val="%7."/>
      <w:lvlJc w:val="left"/>
      <w:pPr>
        <w:ind w:left="5040" w:hanging="360"/>
      </w:pPr>
    </w:lvl>
    <w:lvl w:ilvl="7">
      <w:start w:val="58"/>
      <w:numFmt w:val="decimal"/>
      <w:lvlText w:val="%8."/>
      <w:lvlJc w:val="left"/>
      <w:pPr>
        <w:ind w:left="5760" w:hanging="360"/>
      </w:pPr>
    </w:lvl>
    <w:lvl w:ilvl="8">
      <w:start w:val="58"/>
      <w:numFmt w:val="decimal"/>
      <w:lvlText w:val="%9."/>
      <w:lvlJc w:val="left"/>
      <w:pPr>
        <w:ind w:left="6480" w:hanging="360"/>
      </w:pPr>
    </w:lvl>
  </w:abstractNum>
  <w:num w:numId="1" w16cid:durableId="774599492">
    <w:abstractNumId w:val="0"/>
  </w:num>
  <w:num w:numId="2" w16cid:durableId="10603229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98088242">
    <w:abstractNumId w:val="2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4" w16cid:durableId="2051803085">
    <w:abstractNumId w:val="3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5" w16cid:durableId="627665775">
    <w:abstractNumId w:val="4"/>
    <w:lvlOverride w:ilvl="0">
      <w:startOverride w:val="40"/>
    </w:lvlOverride>
    <w:lvlOverride w:ilvl="1">
      <w:startOverride w:val="40"/>
    </w:lvlOverride>
    <w:lvlOverride w:ilvl="2">
      <w:startOverride w:val="40"/>
    </w:lvlOverride>
    <w:lvlOverride w:ilvl="3">
      <w:startOverride w:val="40"/>
    </w:lvlOverride>
    <w:lvlOverride w:ilvl="4">
      <w:startOverride w:val="40"/>
    </w:lvlOverride>
    <w:lvlOverride w:ilvl="5">
      <w:startOverride w:val="40"/>
    </w:lvlOverride>
    <w:lvlOverride w:ilvl="6">
      <w:startOverride w:val="40"/>
    </w:lvlOverride>
    <w:lvlOverride w:ilvl="7">
      <w:startOverride w:val="40"/>
    </w:lvlOverride>
    <w:lvlOverride w:ilvl="8">
      <w:startOverride w:val="40"/>
    </w:lvlOverride>
  </w:num>
  <w:num w:numId="6" w16cid:durableId="318852147">
    <w:abstractNumId w:val="5"/>
    <w:lvlOverride w:ilvl="0">
      <w:startOverride w:val="52"/>
    </w:lvlOverride>
    <w:lvlOverride w:ilvl="1">
      <w:startOverride w:val="52"/>
    </w:lvlOverride>
    <w:lvlOverride w:ilvl="2">
      <w:startOverride w:val="52"/>
    </w:lvlOverride>
    <w:lvlOverride w:ilvl="3">
      <w:startOverride w:val="52"/>
    </w:lvlOverride>
    <w:lvlOverride w:ilvl="4">
      <w:startOverride w:val="52"/>
    </w:lvlOverride>
    <w:lvlOverride w:ilvl="5">
      <w:startOverride w:val="52"/>
    </w:lvlOverride>
    <w:lvlOverride w:ilvl="6">
      <w:startOverride w:val="52"/>
    </w:lvlOverride>
    <w:lvlOverride w:ilvl="7">
      <w:startOverride w:val="52"/>
    </w:lvlOverride>
    <w:lvlOverride w:ilvl="8">
      <w:startOverride w:val="52"/>
    </w:lvlOverride>
  </w:num>
  <w:num w:numId="7" w16cid:durableId="997264900">
    <w:abstractNumId w:val="6"/>
    <w:lvlOverride w:ilvl="0">
      <w:startOverride w:val="58"/>
    </w:lvlOverride>
    <w:lvlOverride w:ilvl="1">
      <w:startOverride w:val="58"/>
    </w:lvlOverride>
    <w:lvlOverride w:ilvl="2">
      <w:startOverride w:val="58"/>
    </w:lvlOverride>
    <w:lvlOverride w:ilvl="3">
      <w:startOverride w:val="58"/>
    </w:lvlOverride>
    <w:lvlOverride w:ilvl="4">
      <w:startOverride w:val="58"/>
    </w:lvlOverride>
    <w:lvlOverride w:ilvl="5">
      <w:startOverride w:val="58"/>
    </w:lvlOverride>
    <w:lvlOverride w:ilvl="6">
      <w:startOverride w:val="58"/>
    </w:lvlOverride>
    <w:lvlOverride w:ilvl="7">
      <w:startOverride w:val="58"/>
    </w:lvlOverride>
    <w:lvlOverride w:ilvl="8">
      <w:startOverride w:val="58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50AD"/>
    <w:rsid w:val="0002076E"/>
    <w:rsid w:val="00327DCB"/>
    <w:rsid w:val="00850C56"/>
    <w:rsid w:val="00E85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CAAA4"/>
  <w15:docId w15:val="{869BC2ED-AEC4-C04B-A775-EFEF635EB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neurogenomics/rare_disease_celltyping/issues/114" TargetMode="External"/><Relationship Id="rId18" Type="http://schemas.openxmlformats.org/officeDocument/2006/relationships/hyperlink" Target="https://github.com/neurogenomics/rare_disease_celltyping/issues/111" TargetMode="External"/><Relationship Id="rId26" Type="http://schemas.openxmlformats.org/officeDocument/2006/relationships/hyperlink" Target="https://github.com/neurogenomics/rare_disease_celltyping/issues/126" TargetMode="External"/><Relationship Id="rId21" Type="http://schemas.openxmlformats.org/officeDocument/2006/relationships/hyperlink" Target="https://github.com/neurogenomics/rare_disease_celltyping/issues/120" TargetMode="External"/><Relationship Id="rId34" Type="http://schemas.openxmlformats.org/officeDocument/2006/relationships/hyperlink" Target="https://github.com/neurogenomics/rare_disease_celltyping/issues/128" TargetMode="External"/><Relationship Id="rId7" Type="http://schemas.openxmlformats.org/officeDocument/2006/relationships/hyperlink" Target="https://github.com/neurogenomics/rare_disease_celltyping/issues/107" TargetMode="External"/><Relationship Id="rId12" Type="http://schemas.openxmlformats.org/officeDocument/2006/relationships/hyperlink" Target="https://github.com/neurogenomics/rare_disease_celltyping/issues/104" TargetMode="External"/><Relationship Id="rId17" Type="http://schemas.openxmlformats.org/officeDocument/2006/relationships/hyperlink" Target="https://github.com/neurogenomics/rare_disease_celltyping/issues/109" TargetMode="External"/><Relationship Id="rId25" Type="http://schemas.openxmlformats.org/officeDocument/2006/relationships/hyperlink" Target="https://github.com/neurogenomics/rare_disease_celltyping/issues/124" TargetMode="External"/><Relationship Id="rId33" Type="http://schemas.openxmlformats.org/officeDocument/2006/relationships/hyperlink" Target="https://github.com/neurogenomics/rare_disease_celltyping/issues/127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neurogenomics/rare_disease_celltyping/issues/113" TargetMode="External"/><Relationship Id="rId20" Type="http://schemas.openxmlformats.org/officeDocument/2006/relationships/hyperlink" Target="https://github.com/neurogenomics/rare_disease_celltyping/issues/115" TargetMode="External"/><Relationship Id="rId29" Type="http://schemas.openxmlformats.org/officeDocument/2006/relationships/hyperlink" Target="https://github.com/neurogenomics/rare_disease_celltyping/issues/125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neurogenomics/rare_disease_celltyping/issues/133" TargetMode="External"/><Relationship Id="rId11" Type="http://schemas.openxmlformats.org/officeDocument/2006/relationships/hyperlink" Target="https://github.com/neurogenomics/rare_disease_celltyping/issues/108" TargetMode="External"/><Relationship Id="rId24" Type="http://schemas.openxmlformats.org/officeDocument/2006/relationships/hyperlink" Target="https://github.com/neurogenomics/rare_disease_celltyping/issues/117" TargetMode="External"/><Relationship Id="rId32" Type="http://schemas.openxmlformats.org/officeDocument/2006/relationships/hyperlink" Target="https://github.com/neurogenomics/rare_disease_celltyping/issues/129" TargetMode="External"/><Relationship Id="rId37" Type="http://schemas.openxmlformats.org/officeDocument/2006/relationships/theme" Target="theme/theme1.xml"/><Relationship Id="rId5" Type="http://schemas.openxmlformats.org/officeDocument/2006/relationships/hyperlink" Target="https://github.com/neurogenomics/rare_disease_celltyping/issues?q=is%3Aissue+state%3Aclosed" TargetMode="External"/><Relationship Id="rId15" Type="http://schemas.openxmlformats.org/officeDocument/2006/relationships/hyperlink" Target="https://github.com/neurogenomics/rare_disease_celltyping/issues/112" TargetMode="External"/><Relationship Id="rId23" Type="http://schemas.openxmlformats.org/officeDocument/2006/relationships/hyperlink" Target="https://github.com/neurogenomics/rare_disease_celltyping/issues/119" TargetMode="External"/><Relationship Id="rId28" Type="http://schemas.openxmlformats.org/officeDocument/2006/relationships/hyperlink" Target="mailto:brian_schilder@alumni.brown.edu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github.com/neurogenomics/rare_disease_celltyping/issues/106" TargetMode="External"/><Relationship Id="rId19" Type="http://schemas.openxmlformats.org/officeDocument/2006/relationships/hyperlink" Target="https://github.com/neurogenomics/rare_disease_celltyping/issues/116" TargetMode="External"/><Relationship Id="rId31" Type="http://schemas.openxmlformats.org/officeDocument/2006/relationships/hyperlink" Target="https://github.com/neurogenomics/rare_disease_celltyping/issues/12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neurogenomics/rare_disease_celltyping/issues/103" TargetMode="External"/><Relationship Id="rId14" Type="http://schemas.openxmlformats.org/officeDocument/2006/relationships/hyperlink" Target="https://github.com/neurogenomics/rare_disease_celltyping/issues/110" TargetMode="External"/><Relationship Id="rId22" Type="http://schemas.openxmlformats.org/officeDocument/2006/relationships/hyperlink" Target="https://github.com/neurogenomics/rare_disease_celltyping/issues/118" TargetMode="External"/><Relationship Id="rId27" Type="http://schemas.openxmlformats.org/officeDocument/2006/relationships/hyperlink" Target="https://github.com/neurogenomics/rare_disease_celltyping/issues/123" TargetMode="External"/><Relationship Id="rId30" Type="http://schemas.openxmlformats.org/officeDocument/2006/relationships/hyperlink" Target="https://github.com/neurogenomics/rare_disease_celltyping/issues/121" TargetMode="External"/><Relationship Id="rId35" Type="http://schemas.openxmlformats.org/officeDocument/2006/relationships/hyperlink" Target="https://github.com/neurogenomics/rare_disease_celltyping/issues/131" TargetMode="External"/><Relationship Id="rId8" Type="http://schemas.openxmlformats.org/officeDocument/2006/relationships/hyperlink" Target="https://github.com/neurogenomics/rare_disease_celltyping/issues/105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2262</Words>
  <Characters>12900</Characters>
  <Application>Microsoft Office Word</Application>
  <DocSecurity>0</DocSecurity>
  <Lines>107</Lines>
  <Paragraphs>30</Paragraphs>
  <ScaleCrop>false</ScaleCrop>
  <Company/>
  <LinksUpToDate>false</LinksUpToDate>
  <CharactersWithSpaces>15132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Schilder, Brian</cp:lastModifiedBy>
  <cp:revision>2</cp:revision>
  <dcterms:created xsi:type="dcterms:W3CDTF">2026-06-02T19:05:00Z</dcterms:created>
  <dcterms:modified xsi:type="dcterms:W3CDTF">2026-06-02T19:38:00Z</dcterms:modified>
</cp:coreProperties>
</file>