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0F60" w:rsidRPr="0038176E" w:rsidRDefault="00500F60" w:rsidP="006B30F1">
      <w:pPr>
        <w:jc w:val="left"/>
        <w:rPr>
          <w:lang w:val="en-IN"/>
        </w:rPr>
      </w:pPr>
    </w:p>
    <w:p w:rsidR="00500F60" w:rsidRPr="0038176E" w:rsidRDefault="00500F60" w:rsidP="006B30F1">
      <w:pPr>
        <w:jc w:val="left"/>
        <w:rPr>
          <w:lang w:val="en-IN"/>
        </w:rPr>
      </w:pPr>
    </w:p>
    <w:p w:rsidR="00500F60" w:rsidRPr="0038176E" w:rsidRDefault="00500F60" w:rsidP="00756C39">
      <w:pPr>
        <w:rPr>
          <w:lang w:val="en-IN"/>
        </w:rPr>
      </w:pPr>
    </w:p>
    <w:tbl>
      <w:tblPr>
        <w:tblW w:w="9240" w:type="dxa"/>
        <w:tblInd w:w="70" w:type="dxa"/>
        <w:tblCellMar>
          <w:left w:w="70" w:type="dxa"/>
          <w:right w:w="70" w:type="dxa"/>
        </w:tblCellMar>
        <w:tblLook w:val="0000" w:firstRow="0" w:lastRow="0" w:firstColumn="0" w:lastColumn="0" w:noHBand="0" w:noVBand="0"/>
      </w:tblPr>
      <w:tblGrid>
        <w:gridCol w:w="9240"/>
      </w:tblGrid>
      <w:tr w:rsidR="00500F60" w:rsidRPr="0038176E">
        <w:trPr>
          <w:trHeight w:val="1379"/>
        </w:trPr>
        <w:tc>
          <w:tcPr>
            <w:tcW w:w="9240" w:type="dxa"/>
            <w:tcBorders>
              <w:top w:val="single" w:sz="12" w:space="0" w:color="auto"/>
              <w:left w:val="single" w:sz="12" w:space="0" w:color="auto"/>
              <w:bottom w:val="single" w:sz="12" w:space="0" w:color="auto"/>
              <w:right w:val="single" w:sz="12" w:space="0" w:color="auto"/>
            </w:tcBorders>
            <w:vAlign w:val="center"/>
          </w:tcPr>
          <w:p w:rsidR="00500F60" w:rsidRPr="0038176E" w:rsidRDefault="00235E5E" w:rsidP="00922490">
            <w:pPr>
              <w:pStyle w:val="Typededocument"/>
              <w:rPr>
                <w:b w:val="0"/>
                <w:sz w:val="36"/>
                <w:szCs w:val="36"/>
                <w:lang w:val="en-IN"/>
              </w:rPr>
            </w:pPr>
            <w:r w:rsidRPr="0038176E">
              <w:rPr>
                <w:lang w:val="en-IN"/>
              </w:rPr>
              <w:t>RITHI — SECURITY SCAN</w:t>
            </w:r>
          </w:p>
        </w:tc>
      </w:tr>
    </w:tbl>
    <w:p w:rsidR="00500F60" w:rsidRPr="0038176E" w:rsidRDefault="00500F60" w:rsidP="00756C39">
      <w:pPr>
        <w:rPr>
          <w:lang w:val="en-IN"/>
        </w:rPr>
      </w:pPr>
    </w:p>
    <w:p w:rsidR="00500F60" w:rsidRPr="0038176E" w:rsidRDefault="00500F60" w:rsidP="006B30F1">
      <w:pPr>
        <w:jc w:val="left"/>
        <w:rPr>
          <w:lang w:val="en-IN"/>
        </w:rPr>
      </w:pPr>
    </w:p>
    <w:p w:rsidR="00500F60" w:rsidRPr="0038176E" w:rsidRDefault="00500F60" w:rsidP="006B30F1">
      <w:pPr>
        <w:jc w:val="left"/>
        <w:rPr>
          <w:lang w:val="en-IN"/>
        </w:rPr>
      </w:pPr>
    </w:p>
    <w:p w:rsidR="00500F60" w:rsidRPr="0038176E" w:rsidRDefault="00500F60" w:rsidP="006B30F1">
      <w:pPr>
        <w:jc w:val="left"/>
        <w:rPr>
          <w:lang w:val="en-IN"/>
        </w:rPr>
      </w:pPr>
    </w:p>
    <w:tbl>
      <w:tblPr>
        <w:tblW w:w="486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350"/>
        <w:gridCol w:w="1571"/>
        <w:gridCol w:w="2851"/>
        <w:gridCol w:w="1469"/>
        <w:gridCol w:w="1718"/>
      </w:tblGrid>
      <w:tr w:rsidR="00BF5493" w:rsidRPr="0038176E" w:rsidTr="002824F3">
        <w:trPr>
          <w:cantSplit/>
          <w:trHeight w:val="327"/>
          <w:jc w:val="center"/>
        </w:trPr>
        <w:tc>
          <w:tcPr>
            <w:tcW w:w="753" w:type="pct"/>
            <w:tcBorders>
              <w:top w:val="nil"/>
              <w:left w:val="nil"/>
            </w:tcBorders>
            <w:vAlign w:val="center"/>
          </w:tcPr>
          <w:p w:rsidR="00500F60" w:rsidRPr="0038176E" w:rsidRDefault="00500F60" w:rsidP="00701A90">
            <w:pPr>
              <w:jc w:val="left"/>
              <w:rPr>
                <w:lang w:val="en-IN"/>
              </w:rPr>
            </w:pPr>
          </w:p>
        </w:tc>
        <w:tc>
          <w:tcPr>
            <w:tcW w:w="877" w:type="pct"/>
            <w:shd w:val="clear" w:color="auto" w:fill="EBF5FF"/>
            <w:vAlign w:val="center"/>
          </w:tcPr>
          <w:p w:rsidR="00500F60" w:rsidRPr="0038176E" w:rsidRDefault="00500F60" w:rsidP="00701A90">
            <w:pPr>
              <w:jc w:val="center"/>
              <w:rPr>
                <w:b/>
                <w:lang w:val="en-IN"/>
              </w:rPr>
            </w:pPr>
            <w:r w:rsidRPr="0038176E">
              <w:rPr>
                <w:b/>
                <w:lang w:val="en-IN"/>
              </w:rPr>
              <w:t>Function</w:t>
            </w:r>
          </w:p>
        </w:tc>
        <w:tc>
          <w:tcPr>
            <w:tcW w:w="1591" w:type="pct"/>
            <w:shd w:val="clear" w:color="auto" w:fill="EBF5FF"/>
            <w:vAlign w:val="center"/>
          </w:tcPr>
          <w:p w:rsidR="00500F60" w:rsidRPr="0038176E" w:rsidRDefault="00500F60" w:rsidP="00701A90">
            <w:pPr>
              <w:jc w:val="center"/>
              <w:rPr>
                <w:b/>
                <w:lang w:val="en-IN"/>
              </w:rPr>
            </w:pPr>
            <w:r w:rsidRPr="0038176E">
              <w:rPr>
                <w:b/>
                <w:lang w:val="en-IN"/>
              </w:rPr>
              <w:t>Name</w:t>
            </w:r>
          </w:p>
        </w:tc>
        <w:tc>
          <w:tcPr>
            <w:tcW w:w="820" w:type="pct"/>
            <w:shd w:val="clear" w:color="auto" w:fill="EBF5FF"/>
            <w:vAlign w:val="center"/>
          </w:tcPr>
          <w:p w:rsidR="00500F60" w:rsidRPr="0038176E" w:rsidRDefault="00500F60" w:rsidP="00701A90">
            <w:pPr>
              <w:jc w:val="center"/>
              <w:rPr>
                <w:b/>
                <w:lang w:val="en-IN"/>
              </w:rPr>
            </w:pPr>
            <w:r w:rsidRPr="0038176E">
              <w:rPr>
                <w:b/>
                <w:lang w:val="en-IN"/>
              </w:rPr>
              <w:t>Date</w:t>
            </w:r>
          </w:p>
        </w:tc>
        <w:tc>
          <w:tcPr>
            <w:tcW w:w="959" w:type="pct"/>
            <w:shd w:val="clear" w:color="auto" w:fill="EBF5FF"/>
            <w:vAlign w:val="center"/>
          </w:tcPr>
          <w:p w:rsidR="00500F60" w:rsidRPr="0038176E" w:rsidRDefault="00500F60" w:rsidP="00701A90">
            <w:pPr>
              <w:jc w:val="center"/>
              <w:rPr>
                <w:b/>
                <w:lang w:val="en-IN"/>
              </w:rPr>
            </w:pPr>
            <w:r w:rsidRPr="0038176E">
              <w:rPr>
                <w:b/>
                <w:lang w:val="en-IN"/>
              </w:rPr>
              <w:t>Signature</w:t>
            </w:r>
          </w:p>
        </w:tc>
      </w:tr>
      <w:tr w:rsidR="00BF5493" w:rsidRPr="0038176E" w:rsidTr="002824F3">
        <w:trPr>
          <w:cantSplit/>
          <w:trHeight w:val="706"/>
          <w:jc w:val="center"/>
        </w:trPr>
        <w:tc>
          <w:tcPr>
            <w:tcW w:w="753" w:type="pct"/>
            <w:shd w:val="clear" w:color="auto" w:fill="EBF5FF"/>
            <w:vAlign w:val="center"/>
          </w:tcPr>
          <w:p w:rsidR="00500F60" w:rsidRPr="0038176E" w:rsidRDefault="00500F60" w:rsidP="00701A90">
            <w:pPr>
              <w:spacing w:before="80" w:after="80"/>
              <w:jc w:val="left"/>
              <w:rPr>
                <w:b/>
                <w:lang w:val="en-IN"/>
              </w:rPr>
            </w:pPr>
            <w:r w:rsidRPr="0038176E">
              <w:rPr>
                <w:b/>
                <w:lang w:val="en-IN"/>
              </w:rPr>
              <w:t>Written by</w:t>
            </w:r>
          </w:p>
        </w:tc>
        <w:tc>
          <w:tcPr>
            <w:tcW w:w="877" w:type="pct"/>
            <w:vAlign w:val="center"/>
          </w:tcPr>
          <w:p w:rsidR="00500F60" w:rsidRPr="0038176E" w:rsidRDefault="003B6686" w:rsidP="00701A90">
            <w:pPr>
              <w:spacing w:before="80" w:after="80"/>
              <w:jc w:val="left"/>
              <w:rPr>
                <w:lang w:val="en-IN"/>
              </w:rPr>
            </w:pPr>
          </w:p>
        </w:tc>
        <w:tc>
          <w:tcPr>
            <w:tcW w:w="1591" w:type="pct"/>
            <w:vAlign w:val="center"/>
          </w:tcPr>
          <w:p w:rsidR="00500F60" w:rsidRPr="0038176E" w:rsidRDefault="003B6686" w:rsidP="00701A90">
            <w:pPr>
              <w:spacing w:before="80" w:after="80"/>
              <w:jc w:val="left"/>
              <w:rPr>
                <w:highlight w:val="yellow"/>
                <w:lang w:val="en-IN"/>
              </w:rPr>
            </w:pPr>
          </w:p>
        </w:tc>
        <w:tc>
          <w:tcPr>
            <w:tcW w:w="820" w:type="pct"/>
            <w:vAlign w:val="center"/>
          </w:tcPr>
          <w:p w:rsidR="00500F60" w:rsidRPr="0038176E" w:rsidRDefault="00AC481D" w:rsidP="00701A90">
            <w:pPr>
              <w:spacing w:before="80" w:after="80"/>
              <w:jc w:val="left"/>
              <w:rPr>
                <w:lang w:val="en-IN"/>
              </w:rPr>
            </w:pPr>
          </w:p>
        </w:tc>
        <w:tc>
          <w:tcPr>
            <w:tcW w:w="959" w:type="pct"/>
            <w:vAlign w:val="center"/>
          </w:tcPr>
          <w:p w:rsidR="00500F60" w:rsidRPr="0038176E" w:rsidRDefault="00500F60" w:rsidP="00701A90">
            <w:pPr>
              <w:spacing w:before="80" w:after="80"/>
              <w:jc w:val="left"/>
              <w:rPr>
                <w:lang w:val="en-IN"/>
              </w:rPr>
            </w:pPr>
          </w:p>
        </w:tc>
      </w:tr>
      <w:tr w:rsidR="00BF5493" w:rsidRPr="0038176E" w:rsidTr="002824F3">
        <w:trPr>
          <w:cantSplit/>
          <w:trHeight w:val="694"/>
          <w:jc w:val="center"/>
        </w:trPr>
        <w:tc>
          <w:tcPr>
            <w:tcW w:w="753" w:type="pct"/>
            <w:shd w:val="clear" w:color="auto" w:fill="EBF5FF"/>
            <w:vAlign w:val="center"/>
          </w:tcPr>
          <w:p w:rsidR="00500F60" w:rsidRPr="0038176E" w:rsidRDefault="00500F60" w:rsidP="00701A90">
            <w:pPr>
              <w:spacing w:before="80" w:after="80"/>
              <w:jc w:val="left"/>
              <w:rPr>
                <w:b/>
                <w:lang w:val="en-IN"/>
              </w:rPr>
            </w:pPr>
            <w:r w:rsidRPr="0038176E">
              <w:rPr>
                <w:b/>
                <w:lang w:val="en-IN"/>
              </w:rPr>
              <w:t>Checked by</w:t>
            </w:r>
          </w:p>
        </w:tc>
        <w:tc>
          <w:tcPr>
            <w:tcW w:w="877" w:type="pct"/>
            <w:vAlign w:val="center"/>
          </w:tcPr>
          <w:p w:rsidR="001E5651" w:rsidRPr="0038176E" w:rsidRDefault="003B6686">
            <w:pPr>
              <w:spacing w:before="80" w:after="80"/>
              <w:jc w:val="left"/>
              <w:rPr>
                <w:lang w:val="en-IN"/>
              </w:rPr>
            </w:pPr>
          </w:p>
        </w:tc>
        <w:tc>
          <w:tcPr>
            <w:tcW w:w="1591" w:type="pct"/>
            <w:vAlign w:val="center"/>
          </w:tcPr>
          <w:p w:rsidR="00500F60" w:rsidRPr="0038176E" w:rsidRDefault="003B6686" w:rsidP="00701A90">
            <w:pPr>
              <w:spacing w:before="80" w:after="80"/>
              <w:jc w:val="left"/>
              <w:rPr>
                <w:lang w:val="en-IN"/>
              </w:rPr>
            </w:pPr>
          </w:p>
        </w:tc>
        <w:tc>
          <w:tcPr>
            <w:tcW w:w="820" w:type="pct"/>
            <w:vAlign w:val="center"/>
          </w:tcPr>
          <w:p w:rsidR="00500F60" w:rsidRPr="0038176E" w:rsidRDefault="00AC481D" w:rsidP="00701A90">
            <w:pPr>
              <w:spacing w:before="80" w:after="80"/>
              <w:jc w:val="left"/>
              <w:rPr>
                <w:lang w:val="en-IN"/>
              </w:rPr>
            </w:pPr>
          </w:p>
        </w:tc>
        <w:tc>
          <w:tcPr>
            <w:tcW w:w="959" w:type="pct"/>
            <w:vAlign w:val="center"/>
          </w:tcPr>
          <w:p w:rsidR="00500F60" w:rsidRPr="0038176E" w:rsidRDefault="00500F60" w:rsidP="00701A90">
            <w:pPr>
              <w:spacing w:before="80" w:after="80"/>
              <w:jc w:val="left"/>
              <w:rPr>
                <w:lang w:val="en-IN"/>
              </w:rPr>
            </w:pPr>
          </w:p>
        </w:tc>
      </w:tr>
      <w:tr w:rsidR="002C0701" w:rsidRPr="0038176E" w:rsidTr="002824F3">
        <w:trPr>
          <w:cantSplit/>
          <w:trHeight w:val="694"/>
          <w:jc w:val="center"/>
        </w:trPr>
        <w:tc>
          <w:tcPr>
            <w:tcW w:w="753" w:type="pct"/>
            <w:shd w:val="clear" w:color="auto" w:fill="EBF5FF"/>
            <w:vAlign w:val="center"/>
          </w:tcPr>
          <w:p w:rsidR="002C0701" w:rsidRPr="0038176E" w:rsidRDefault="002C0701" w:rsidP="00701A90">
            <w:pPr>
              <w:spacing w:before="80" w:after="80"/>
              <w:jc w:val="left"/>
              <w:rPr>
                <w:b/>
                <w:lang w:val="en-IN"/>
              </w:rPr>
            </w:pPr>
            <w:r w:rsidRPr="0038176E">
              <w:rPr>
                <w:b/>
                <w:lang w:val="en-IN"/>
              </w:rPr>
              <w:t>Checked by</w:t>
            </w:r>
          </w:p>
        </w:tc>
        <w:tc>
          <w:tcPr>
            <w:tcW w:w="877" w:type="pct"/>
            <w:vAlign w:val="center"/>
          </w:tcPr>
          <w:p w:rsidR="002C0701" w:rsidRPr="0038176E" w:rsidRDefault="002824F3">
            <w:pPr>
              <w:spacing w:before="80" w:after="80"/>
              <w:jc w:val="left"/>
              <w:rPr>
                <w:lang w:val="en-IN"/>
              </w:rPr>
            </w:pPr>
          </w:p>
        </w:tc>
        <w:tc>
          <w:tcPr>
            <w:tcW w:w="1591" w:type="pct"/>
            <w:vAlign w:val="center"/>
          </w:tcPr>
          <w:p w:rsidR="002C0701" w:rsidRPr="0038176E" w:rsidRDefault="002824F3" w:rsidP="003E53DD">
            <w:pPr>
              <w:spacing w:before="80" w:after="80"/>
              <w:jc w:val="left"/>
              <w:rPr>
                <w:lang w:val="en-IN"/>
              </w:rPr>
            </w:pPr>
          </w:p>
        </w:tc>
        <w:tc>
          <w:tcPr>
            <w:tcW w:w="820" w:type="pct"/>
            <w:vAlign w:val="center"/>
          </w:tcPr>
          <w:p w:rsidR="002C0701" w:rsidRPr="0038176E" w:rsidRDefault="00AC481D" w:rsidP="00701A90">
            <w:pPr>
              <w:spacing w:before="80" w:after="80"/>
              <w:jc w:val="left"/>
              <w:rPr>
                <w:lang w:val="en-IN"/>
              </w:rPr>
            </w:pPr>
          </w:p>
        </w:tc>
        <w:tc>
          <w:tcPr>
            <w:tcW w:w="959" w:type="pct"/>
            <w:vAlign w:val="center"/>
          </w:tcPr>
          <w:p w:rsidR="002C0701" w:rsidRPr="0038176E" w:rsidRDefault="002C0701" w:rsidP="00701A90">
            <w:pPr>
              <w:spacing w:before="80" w:after="80"/>
              <w:jc w:val="left"/>
              <w:rPr>
                <w:lang w:val="en-IN"/>
              </w:rPr>
            </w:pPr>
          </w:p>
        </w:tc>
      </w:tr>
      <w:tr w:rsidR="00BF5493" w:rsidRPr="0038176E" w:rsidTr="002824F3">
        <w:trPr>
          <w:cantSplit/>
          <w:trHeight w:val="701"/>
          <w:jc w:val="center"/>
        </w:trPr>
        <w:tc>
          <w:tcPr>
            <w:tcW w:w="753" w:type="pct"/>
            <w:shd w:val="clear" w:color="auto" w:fill="EBF5FF"/>
            <w:vAlign w:val="center"/>
          </w:tcPr>
          <w:p w:rsidR="00500F60" w:rsidRPr="0038176E" w:rsidRDefault="00500F60" w:rsidP="00701A90">
            <w:pPr>
              <w:spacing w:before="80" w:after="80"/>
              <w:jc w:val="left"/>
              <w:rPr>
                <w:b/>
                <w:lang w:val="en-IN"/>
              </w:rPr>
            </w:pPr>
            <w:r w:rsidRPr="0038176E">
              <w:rPr>
                <w:b/>
                <w:lang w:val="en-IN"/>
              </w:rPr>
              <w:t>Approved by</w:t>
            </w:r>
          </w:p>
        </w:tc>
        <w:tc>
          <w:tcPr>
            <w:tcW w:w="877" w:type="pct"/>
            <w:vAlign w:val="center"/>
          </w:tcPr>
          <w:p w:rsidR="00500F60" w:rsidRPr="0038176E" w:rsidRDefault="003B6686" w:rsidP="00701A90">
            <w:pPr>
              <w:spacing w:before="80" w:after="80"/>
              <w:jc w:val="left"/>
              <w:rPr>
                <w:lang w:val="en-IN"/>
              </w:rPr>
            </w:pPr>
          </w:p>
        </w:tc>
        <w:tc>
          <w:tcPr>
            <w:tcW w:w="1591" w:type="pct"/>
            <w:vAlign w:val="center"/>
          </w:tcPr>
          <w:p w:rsidR="00500F60" w:rsidRPr="0038176E" w:rsidRDefault="003B6686" w:rsidP="003B6686">
            <w:pPr>
              <w:spacing w:before="80" w:after="80"/>
              <w:jc w:val="left"/>
              <w:rPr>
                <w:lang w:val="en-IN"/>
              </w:rPr>
            </w:pPr>
          </w:p>
        </w:tc>
        <w:tc>
          <w:tcPr>
            <w:tcW w:w="820" w:type="pct"/>
            <w:vAlign w:val="center"/>
          </w:tcPr>
          <w:p w:rsidR="00500F60" w:rsidRPr="0038176E" w:rsidRDefault="0046070A" w:rsidP="00701A90">
            <w:pPr>
              <w:spacing w:before="80" w:after="80"/>
              <w:jc w:val="left"/>
              <w:rPr>
                <w:lang w:val="en-IN"/>
              </w:rPr>
            </w:pPr>
          </w:p>
        </w:tc>
        <w:tc>
          <w:tcPr>
            <w:tcW w:w="959" w:type="pct"/>
            <w:vAlign w:val="center"/>
          </w:tcPr>
          <w:p w:rsidR="00500F60" w:rsidRPr="0038176E" w:rsidRDefault="00500F60" w:rsidP="00701A90">
            <w:pPr>
              <w:spacing w:before="80" w:after="80"/>
              <w:jc w:val="left"/>
              <w:rPr>
                <w:lang w:val="en-IN"/>
              </w:rPr>
            </w:pPr>
          </w:p>
        </w:tc>
      </w:tr>
    </w:tbl>
    <w:p w:rsidR="00500F60" w:rsidRPr="0038176E" w:rsidRDefault="00500F60" w:rsidP="006B30F1">
      <w:pPr>
        <w:jc w:val="left"/>
        <w:rPr>
          <w:lang w:val="en-IN"/>
        </w:rPr>
      </w:pPr>
    </w:p>
    <w:p w:rsidR="00500F60" w:rsidRPr="0038176E" w:rsidRDefault="00500F60" w:rsidP="00756C39">
      <w:pPr>
        <w:jc w:val="left"/>
        <w:rPr>
          <w:lang w:val="en-IN"/>
        </w:rPr>
      </w:pPr>
    </w:p>
    <w:p w:rsidR="00500F60" w:rsidRPr="0038176E" w:rsidRDefault="00500F60" w:rsidP="006B30F1">
      <w:pPr>
        <w:rPr>
          <w:lang w:val="en-IN"/>
        </w:rPr>
      </w:pPr>
    </w:p>
    <w:p w:rsidR="00500F60" w:rsidRPr="0038176E" w:rsidRDefault="00500F60" w:rsidP="006B30F1">
      <w:pPr>
        <w:rPr>
          <w:lang w:val="en-IN" w:eastAsia="en-GB"/>
        </w:rPr>
      </w:pPr>
      <w:bookmarkStart w:id="1" w:name="_Toc33451969"/>
      <w:bookmarkStart w:id="2" w:name="_Toc66204483"/>
      <w:bookmarkStart w:id="3" w:name="_Toc66262512"/>
      <w:bookmarkStart w:id="4" w:name="_Toc273623629"/>
    </w:p>
    <w:p w:rsidR="004D44C6" w:rsidRPr="0038176E" w:rsidRDefault="004D44C6" w:rsidP="006B30F1">
      <w:pPr>
        <w:rPr>
          <w:lang w:val="en-IN" w:eastAsia="en-GB"/>
        </w:rPr>
      </w:pPr>
    </w:p>
    <w:p w:rsidR="004D44C6" w:rsidRPr="0038176E" w:rsidRDefault="004D44C6" w:rsidP="006B30F1">
      <w:pPr>
        <w:rPr>
          <w:lang w:val="en-IN" w:eastAsia="en-GB"/>
        </w:rPr>
      </w:pPr>
    </w:p>
    <w:p w:rsidR="004D44C6" w:rsidRPr="0038176E" w:rsidRDefault="004D44C6" w:rsidP="006B30F1">
      <w:pPr>
        <w:rPr>
          <w:lang w:val="en-IN" w:eastAsia="en-GB"/>
        </w:rPr>
      </w:pPr>
    </w:p>
    <w:p w:rsidR="004D44C6" w:rsidRPr="0038176E" w:rsidRDefault="004D44C6" w:rsidP="006B30F1">
      <w:pPr>
        <w:rPr>
          <w:lang w:val="en-IN" w:eastAsia="en-GB"/>
        </w:rPr>
      </w:pPr>
    </w:p>
    <w:p w:rsidR="004D44C6" w:rsidRPr="0038176E" w:rsidRDefault="004D44C6" w:rsidP="006B30F1">
      <w:pPr>
        <w:rPr>
          <w:lang w:val="en-IN" w:eastAsia="en-GB"/>
        </w:rPr>
      </w:pPr>
    </w:p>
    <w:p w:rsidR="004D44C6" w:rsidRPr="0038176E" w:rsidRDefault="004D44C6" w:rsidP="006B30F1">
      <w:pPr>
        <w:rPr>
          <w:lang w:val="en-IN" w:eastAsia="en-GB"/>
        </w:rPr>
      </w:pPr>
    </w:p>
    <w:p w:rsidR="00353ACF" w:rsidRPr="0038176E" w:rsidRDefault="00353ACF" w:rsidP="006B30F1">
      <w:pPr>
        <w:rPr>
          <w:lang w:val="en-IN" w:eastAsia="en-GB"/>
        </w:rPr>
      </w:pPr>
    </w:p>
    <w:p w:rsidR="00353ACF" w:rsidRPr="0038176E" w:rsidRDefault="00353ACF" w:rsidP="006B30F1">
      <w:pPr>
        <w:rPr>
          <w:lang w:val="en-IN" w:eastAsia="en-GB"/>
        </w:rPr>
      </w:pPr>
    </w:p>
    <w:p w:rsidR="00353ACF" w:rsidRPr="0038176E" w:rsidRDefault="00353ACF" w:rsidP="006B30F1">
      <w:pPr>
        <w:rPr>
          <w:lang w:val="en-IN" w:eastAsia="en-GB"/>
        </w:rPr>
      </w:pPr>
    </w:p>
    <w:p w:rsidR="00353ACF" w:rsidRPr="0038176E" w:rsidRDefault="00353ACF" w:rsidP="006B30F1">
      <w:pPr>
        <w:rPr>
          <w:lang w:val="en-IN" w:eastAsia="en-GB"/>
        </w:rPr>
      </w:pPr>
    </w:p>
    <w:p w:rsidR="00500F60" w:rsidRPr="0038176E" w:rsidRDefault="00500F60" w:rsidP="0027325A">
      <w:pPr>
        <w:pStyle w:val="EnteteTableau"/>
        <w:rPr>
          <w:u w:val="single"/>
          <w:lang w:val="en-IN"/>
        </w:rPr>
      </w:pPr>
      <w:r w:rsidRPr="0038176E">
        <w:rPr>
          <w:u w:val="single"/>
          <w:lang w:val="en-IN"/>
        </w:rPr>
        <w:t>TABLE OF CONTENTS</w:t>
      </w:r>
    </w:p>
    <w:p>
      <w:pPr>
        <w:pStyle w:val="TOC1"/>
      </w:pPr>
      <w:r>
        <w:fldChar w:fldCharType="begin" w:dirty="true"/>
      </w:r>
      <w:r>
        <w:instrText xml:space="preserve"> TOC \o "1-3" \h \z \u </w:instrText>
      </w:r>
      <w:r>
        <w:fldChar w:fldCharType="separate"/>
      </w:r>
      <w:r>
        <w:rPr>
          <w:lang w:val="en-IN"/>
        </w:rPr>
        <w:t xml:space="preserve">1  Scope</w:t>
      </w:r>
    </w:p>
    <w:p>
      <w:pPr>
        <w:pStyle w:val="TOC1"/>
      </w:pPr>
      <w:r>
        <w:rPr>
          <w:lang w:val="en-IN"/>
        </w:rPr>
        <w:t xml:space="preserve">2  Method</w:t>
      </w:r>
    </w:p>
    <w:p>
      <w:pPr>
        <w:pStyle w:val="TOC1"/>
      </w:pPr>
      <w:r>
        <w:rPr>
          <w:lang w:val="en-IN"/>
        </w:rPr>
        <w:t xml:space="preserve">3  Summary of findings</w:t>
      </w:r>
    </w:p>
    <w:p>
      <w:pPr>
        <w:pStyle w:val="TOC1"/>
      </w:pPr>
      <w:r>
        <w:rPr>
          <w:lang w:val="en-IN"/>
        </w:rPr>
        <w:t xml:space="preserve">4  Findings</w:t>
      </w:r>
    </w:p>
    <w:p>
      <w:pPr>
        <w:pStyle w:val="TOC1"/>
      </w:pPr>
      <w:r>
        <w:rPr>
          <w:lang w:val="en-IN"/>
        </w:rPr>
        <w:t xml:space="preserve">5  Found sound</w:t>
      </w:r>
    </w:p>
    <w:p>
      <w:pPr>
        <w:pStyle w:val="TOC1"/>
      </w:pPr>
      <w:r>
        <w:rPr>
          <w:lang w:val="en-IN"/>
        </w:rPr>
        <w:t xml:space="preserve">6  Re-running the scan</w:t>
      </w:r>
    </w:p>
    <w:p>
      <w:pPr>
        <w:pStyle w:val="TOC1"/>
      </w:pPr>
      <w:r>
        <w:rPr>
          <w:lang w:val="en-IN"/>
        </w:rPr>
        <w:t xml:space="preserve">7  CONCLUSION</w:t>
      </w:r>
      <w:r>
        <w:fldChar w:fldCharType="end"/>
      </w:r>
    </w:p>
    <w:p>
      <w:r>
        <w:br w:type="page"/>
      </w:r>
    </w:p>
    <w:p>
      <w:pPr>
        <w:pStyle w:val="Heading1"/>
      </w:pPr>
      <w:r>
        <w:rPr>
          <w:lang w:val="en-IN"/>
        </w:rPr>
        <w:t xml:space="preserve">Scope</w:t>
      </w:r>
    </w:p>
    <w:p>
      <w:pPr>
        <w:spacing w:before="60" w:after="60"/>
      </w:pPr>
      <w:r>
        <w:rPr>
          <w:lang w:val="en-IN"/>
        </w:rPr>
        <w:t xml:space="preserve">Security scan of RITHI version 0.10.226, 27-Oct-2026: a penetration test and a vulnerability scan, asked for by the system owner. It is an annex to the Software Validation document R/QMS/SV/13 (reference [6] there).</w:t>
      </w:r>
    </w:p>
    <w:p>
      <w:pPr>
        <w:spacing w:before="20" w:after="20"/>
        <w:ind w:left="720" w:hanging="360"/>
      </w:pPr>
      <w:r>
        <w:rPr>
          <w:lang w:val="en-IN"/>
        </w:rPr>
        <w:t xml:space="preserve">•	The RITHI web application (the code shipped to every browser) and its database: every table, view, row-level-security policy and owner-rights function created by the migrations.</w:t>
      </w:r>
    </w:p>
    <w:p>
      <w:pPr>
        <w:spacing w:before="20" w:after="20"/>
        <w:ind w:left="720" w:hanging="360"/>
      </w:pPr>
      <w:r>
        <w:rPr>
          <w:lang w:val="en-IN"/>
        </w:rPr>
        <w:t xml:space="preserve">•	The live project and site, read only: what the public key built into the website can read, the sign-in settings, the site's security headers, and whether any secret is shipped.</w:t>
      </w:r>
    </w:p>
    <w:p>
      <w:pPr>
        <w:pStyle w:val="Heading1"/>
      </w:pPr>
      <w:r>
        <w:rPr>
          <w:lang w:val="en-IN"/>
        </w:rPr>
        <w:t xml:space="preserve">Method</w:t>
      </w:r>
    </w:p>
    <w:tbl>
      <w:tblPr>
        <w:tblStyle w:val="TableGrid"/>
        <w:tblW w:w="5000" w:type="pct"/>
        <w:tblLook w:val="04A0" w:firstRow="1" w:lastRow="0" w:firstColumn="1" w:lastColumn="0" w:noHBand="0" w:noVBand="1"/>
      </w:tblPr>
      <w:tblGrid>
        <w:gridCol w:w="2540"/>
        <w:gridCol w:w="6530"/>
      </w:tblGrid>
      <w:tr>
        <w:trPr>
          <w:tblHeader/>
          <w:cantSplit/>
        </w:trPr>
        <w:tc>
          <w:tcPr>
            <w:tcW w:w="1400" w:type="pct"/>
            <w:shd w:val="clear" w:color="auto" w:fill="EBF5FF"/>
          </w:tcPr>
          <w:p>
            <w:pPr>
              <w:spacing w:before="20" w:after="20"/>
              <w:jc w:val="left"/>
            </w:pPr>
            <w:r>
              <w:rPr>
                <w:b/>
                <w:sz w:val="17"/>
                <w:szCs w:val="17"/>
                <w:lang w:val="en-IN"/>
              </w:rPr>
              <w:t xml:space="preserve">Activity</w:t>
            </w:r>
          </w:p>
        </w:tc>
        <w:tc>
          <w:tcPr>
            <w:tcW w:w="3600" w:type="pct"/>
            <w:shd w:val="clear" w:color="auto" w:fill="EBF5FF"/>
          </w:tcPr>
          <w:p>
            <w:pPr>
              <w:spacing w:before="20" w:after="20"/>
              <w:jc w:val="left"/>
            </w:pPr>
            <w:r>
              <w:rPr>
                <w:b/>
                <w:sz w:val="17"/>
                <w:szCs w:val="17"/>
                <w:lang w:val="en-IN"/>
              </w:rPr>
              <w:t xml:space="preserve">How it was done</w:t>
            </w:r>
          </w:p>
        </w:tc>
      </w:tr>
      <w:tr>
        <w:trPr>
          <w:cantSplit/>
        </w:trPr>
        <w:tc>
          <w:tcPr>
            <w:tcW w:w="1400" w:type="pct"/>
          </w:tcPr>
          <w:p>
            <w:pPr>
              <w:spacing w:before="20" w:after="20"/>
              <w:jc w:val="left"/>
            </w:pPr>
            <w:r>
              <w:rPr>
                <w:sz w:val="17"/>
                <w:szCs w:val="17"/>
                <w:lang w:val="en-IN"/>
              </w:rPr>
              <w:t xml:space="preserve">Vulnerability scan — dependencies</w:t>
            </w:r>
          </w:p>
        </w:tc>
        <w:tc>
          <w:tcPr>
            <w:tcW w:w="3600" w:type="pct"/>
          </w:tcPr>
          <w:p>
            <w:pPr>
              <w:spacing w:before="20" w:after="20"/>
              <w:jc w:val="left"/>
            </w:pPr>
            <w:r>
              <w:rPr>
                <w:sz w:val="17"/>
                <w:szCs w:val="17"/>
                <w:lang w:val="en-IN"/>
              </w:rPr>
              <w:t xml:space="preserve">npm audit of every package the build uses; non-breaking fixes applied.</w:t>
            </w:r>
          </w:p>
        </w:tc>
      </w:tr>
      <w:tr>
        <w:trPr>
          <w:cantSplit/>
        </w:trPr>
        <w:tc>
          <w:tcPr>
            <w:tcW w:w="1400" w:type="pct"/>
          </w:tcPr>
          <w:p>
            <w:pPr>
              <w:spacing w:before="20" w:after="20"/>
              <w:jc w:val="left"/>
            </w:pPr>
            <w:r>
              <w:rPr>
                <w:sz w:val="17"/>
                <w:szCs w:val="17"/>
                <w:lang w:val="en-IN"/>
              </w:rPr>
              <w:t xml:space="preserve">Vulnerability scan — secrets</w:t>
            </w:r>
          </w:p>
        </w:tc>
        <w:tc>
          <w:tcPr>
            <w:tcW w:w="3600" w:type="pct"/>
          </w:tcPr>
          <w:p>
            <w:pPr>
              <w:spacing w:before="20" w:after="20"/>
              <w:jc w:val="left"/>
            </w:pPr>
            <w:r>
              <w:rPr>
                <w:sz w:val="17"/>
                <w:szCs w:val="17"/>
                <w:lang w:val="en-IN"/>
              </w:rPr>
              <w:t xml:space="preserve">Every file in the repository and the built website searched for secret keys, tokens and private keys.</w:t>
            </w:r>
          </w:p>
        </w:tc>
      </w:tr>
      <w:tr>
        <w:trPr>
          <w:cantSplit/>
        </w:trPr>
        <w:tc>
          <w:tcPr>
            <w:tcW w:w="1400" w:type="pct"/>
          </w:tcPr>
          <w:p>
            <w:pPr>
              <w:spacing w:before="20" w:after="20"/>
              <w:jc w:val="left"/>
            </w:pPr>
            <w:r>
              <w:rPr>
                <w:sz w:val="17"/>
                <w:szCs w:val="17"/>
                <w:lang w:val="en-IN"/>
              </w:rPr>
              <w:t xml:space="preserve">Vulnerability scan — code</w:t>
            </w:r>
          </w:p>
        </w:tc>
        <w:tc>
          <w:tcPr>
            <w:tcW w:w="3600" w:type="pct"/>
          </w:tcPr>
          <w:p>
            <w:pPr>
              <w:spacing w:before="20" w:after="20"/>
              <w:jc w:val="left"/>
            </w:pPr>
            <w:r>
              <w:rPr>
                <w:sz w:val="17"/>
                <w:szCs w:val="17"/>
                <w:lang w:val="en-IN"/>
              </w:rPr>
              <w:t xml:space="preserve">The front end searched for script-injection paths: raw HTML, links taken from stored data, window.open, message listeners; dynamic SQL in database functions checked for injection.</w:t>
            </w:r>
          </w:p>
        </w:tc>
      </w:tr>
      <w:tr>
        <w:trPr>
          <w:cantSplit/>
        </w:trPr>
        <w:tc>
          <w:tcPr>
            <w:tcW w:w="1400" w:type="pct"/>
          </w:tcPr>
          <w:p>
            <w:pPr>
              <w:spacing w:before="20" w:after="20"/>
              <w:jc w:val="left"/>
            </w:pPr>
            <w:r>
              <w:rPr>
                <w:sz w:val="17"/>
                <w:szCs w:val="17"/>
                <w:lang w:val="en-IN"/>
              </w:rPr>
              <w:t xml:space="preserve">Penetration test — local copy</w:t>
            </w:r>
          </w:p>
        </w:tc>
        <w:tc>
          <w:tcPr>
            <w:tcW w:w="3600" w:type="pct"/>
          </w:tcPr>
          <w:p>
            <w:pPr>
              <w:spacing w:before="20" w:after="20"/>
              <w:jc w:val="left"/>
            </w:pPr>
            <w:r>
              <w:rPr>
                <w:sz w:val="17"/>
                <w:szCs w:val="17"/>
                <w:lang w:val="en-IN"/>
              </w:rPr>
              <w:t xml:space="preserve">A database built from every migration, attacked as three people: nobody signed in (the public key alone), a login with no profile, and a signed-in engineer going after another engineer's records and after rights they do not hold. Every table and view read, every table written, every owner-rights function called. Kept as supabase/tests/security_pentest_test.sql and run on every validation.</w:t>
            </w:r>
          </w:p>
        </w:tc>
      </w:tr>
      <w:tr>
        <w:trPr>
          <w:cantSplit/>
        </w:trPr>
        <w:tc>
          <w:tcPr>
            <w:tcW w:w="1400" w:type="pct"/>
          </w:tcPr>
          <w:p>
            <w:pPr>
              <w:spacing w:before="20" w:after="20"/>
              <w:jc w:val="left"/>
            </w:pPr>
            <w:r>
              <w:rPr>
                <w:sz w:val="17"/>
                <w:szCs w:val="17"/>
                <w:lang w:val="en-IN"/>
              </w:rPr>
              <w:t xml:space="preserve">Read-only checks — live</w:t>
            </w:r>
          </w:p>
        </w:tc>
        <w:tc>
          <w:tcPr>
            <w:tcW w:w="3600" w:type="pct"/>
          </w:tcPr>
          <w:p>
            <w:pPr>
              <w:spacing w:before="20" w:after="20"/>
              <w:jc w:val="left"/>
            </w:pPr>
            <w:r>
              <w:rPr>
                <w:sz w:val="17"/>
                <w:szCs w:val="17"/>
                <w:lang w:val="en-IN"/>
              </w:rPr>
              <w:t xml:space="preserve">GET requests only, with the public key: every table and view asked for one row; the sign-in settings read; the site's headers, source map and shipped code inspected. Counts and statuses printed, never a row.</w:t>
            </w:r>
          </w:p>
        </w:tc>
      </w:tr>
    </w:tbl>
    <w:p>
      <w:pPr>
        <w:spacing w:before="60" w:after="60"/>
      </w:pPr>
      <w:r>
        <w:rPr>
          <w:lang w:val="en-IN"/>
        </w:rPr>
        <w:t xml:space="preserve"/>
      </w:r>
    </w:p>
    <w:p>
      <w:pPr>
        <w:pStyle w:val="Heading1"/>
      </w:pPr>
      <w:r>
        <w:rPr>
          <w:lang w:val="en-IN"/>
        </w:rPr>
        <w:t xml:space="preserve">Summary of findings</w:t>
      </w:r>
    </w:p>
    <w:tbl>
      <w:tblPr>
        <w:tblStyle w:val="TableGrid"/>
        <w:tblW w:w="5000" w:type="pct"/>
        <w:tblLook w:val="04A0" w:firstRow="1" w:lastRow="0" w:firstColumn="1" w:lastColumn="0" w:noHBand="0" w:noVBand="1"/>
      </w:tblPr>
      <w:tblGrid>
        <w:gridCol w:w="2268"/>
        <w:gridCol w:w="2268"/>
        <w:gridCol w:w="2268"/>
        <w:gridCol w:w="2268"/>
      </w:tblGrid>
      <w:tr>
        <w:trPr>
          <w:tblHeader/>
          <w:cantSplit/>
        </w:trPr>
        <w:tc>
          <w:tcPr>
            <w:tcW w:w="1250" w:type="pct"/>
            <w:shd w:val="clear" w:color="auto" w:fill="EBF5FF"/>
          </w:tcPr>
          <w:p>
            <w:pPr>
              <w:spacing w:before="20" w:after="20"/>
              <w:jc w:val="left"/>
            </w:pPr>
            <w:r>
              <w:rPr>
                <w:b/>
                <w:sz w:val="17"/>
                <w:szCs w:val="17"/>
                <w:lang w:val="en-IN"/>
              </w:rPr>
              <w:t xml:space="preserve">Severity</w:t>
            </w:r>
          </w:p>
        </w:tc>
        <w:tc>
          <w:tcPr>
            <w:tcW w:w="1250" w:type="pct"/>
            <w:shd w:val="clear" w:color="auto" w:fill="EBF5FF"/>
          </w:tcPr>
          <w:p>
            <w:pPr>
              <w:spacing w:before="20" w:after="20"/>
              <w:jc w:val="left"/>
            </w:pPr>
            <w:r>
              <w:rPr>
                <w:b/>
                <w:sz w:val="17"/>
                <w:szCs w:val="17"/>
                <w:lang w:val="en-IN"/>
              </w:rPr>
              <w:t xml:space="preserve">Found</w:t>
            </w:r>
          </w:p>
        </w:tc>
        <w:tc>
          <w:tcPr>
            <w:tcW w:w="1250" w:type="pct"/>
            <w:shd w:val="clear" w:color="auto" w:fill="EBF5FF"/>
          </w:tcPr>
          <w:p>
            <w:pPr>
              <w:spacing w:before="20" w:after="20"/>
              <w:jc w:val="left"/>
            </w:pPr>
            <w:r>
              <w:rPr>
                <w:b/>
                <w:sz w:val="17"/>
                <w:szCs w:val="17"/>
                <w:lang w:val="en-IN"/>
              </w:rPr>
              <w:t xml:space="preserve">Fixed</w:t>
            </w:r>
          </w:p>
        </w:tc>
        <w:tc>
          <w:tcPr>
            <w:tcW w:w="1250" w:type="pct"/>
            <w:shd w:val="clear" w:color="auto" w:fill="EBF5FF"/>
          </w:tcPr>
          <w:p>
            <w:pPr>
              <w:spacing w:before="20" w:after="20"/>
              <w:jc w:val="left"/>
            </w:pPr>
            <w:r>
              <w:rPr>
                <w:b/>
                <w:sz w:val="17"/>
                <w:szCs w:val="17"/>
                <w:lang w:val="en-IN"/>
              </w:rPr>
              <w:t xml:space="preserve">Open / accepted</w:t>
            </w:r>
          </w:p>
        </w:tc>
      </w:tr>
      <w:tr>
        <w:trPr>
          <w:cantSplit/>
        </w:trPr>
        <w:tc>
          <w:tcPr>
            <w:tcW w:w="1250" w:type="pct"/>
          </w:tcPr>
          <w:p>
            <w:pPr>
              <w:spacing w:before="20" w:after="20"/>
              <w:jc w:val="left"/>
            </w:pPr>
            <w:r>
              <w:rPr>
                <w:sz w:val="17"/>
                <w:szCs w:val="17"/>
                <w:lang w:val="en-IN"/>
              </w:rPr>
              <w:t xml:space="preserve">Critical</w:t>
            </w:r>
          </w:p>
        </w:tc>
        <w:tc>
          <w:tcPr>
            <w:tcW w:w="1250" w:type="pct"/>
          </w:tcPr>
          <w:p>
            <w:pPr>
              <w:spacing w:before="20" w:after="20"/>
              <w:jc w:val="left"/>
            </w:pPr>
            <w:r>
              <w:rPr>
                <w:sz w:val="17"/>
                <w:szCs w:val="17"/>
                <w:lang w:val="en-IN"/>
              </w:rPr>
              <w:t xml:space="preserve">0</w:t>
            </w:r>
          </w:p>
        </w:tc>
        <w:tc>
          <w:tcPr>
            <w:tcW w:w="1250" w:type="pct"/>
          </w:tcPr>
          <w:p>
            <w:pPr>
              <w:spacing w:before="20" w:after="20"/>
              <w:jc w:val="left"/>
            </w:pPr>
            <w:r>
              <w:rPr>
                <w:sz w:val="17"/>
                <w:szCs w:val="17"/>
                <w:lang w:val="en-IN"/>
              </w:rPr>
              <w:t xml:space="preserve">0</w:t>
            </w:r>
          </w:p>
        </w:tc>
        <w:tc>
          <w:tcPr>
            <w:tcW w:w="1250" w:type="pct"/>
          </w:tcPr>
          <w:p>
            <w:pPr>
              <w:spacing w:before="20" w:after="20"/>
              <w:jc w:val="left"/>
            </w:pPr>
            <w:r>
              <w:rPr>
                <w:sz w:val="17"/>
                <w:szCs w:val="17"/>
                <w:lang w:val="en-IN"/>
              </w:rPr>
              <w:t xml:space="preserve">0</w:t>
            </w:r>
          </w:p>
        </w:tc>
      </w:tr>
      <w:tr>
        <w:trPr>
          <w:cantSplit/>
        </w:trPr>
        <w:tc>
          <w:tcPr>
            <w:tcW w:w="1250" w:type="pct"/>
          </w:tcPr>
          <w:p>
            <w:pPr>
              <w:spacing w:before="20" w:after="20"/>
              <w:jc w:val="left"/>
            </w:pPr>
            <w:r>
              <w:rPr>
                <w:sz w:val="17"/>
                <w:szCs w:val="17"/>
                <w:lang w:val="en-IN"/>
              </w:rPr>
              <w:t xml:space="preserve">High</w:t>
            </w:r>
          </w:p>
        </w:tc>
        <w:tc>
          <w:tcPr>
            <w:tcW w:w="1250" w:type="pct"/>
          </w:tcPr>
          <w:p>
            <w:pPr>
              <w:spacing w:before="20" w:after="20"/>
              <w:jc w:val="left"/>
            </w:pPr>
            <w:r>
              <w:rPr>
                <w:sz w:val="17"/>
                <w:szCs w:val="17"/>
                <w:lang w:val="en-IN"/>
              </w:rPr>
              <w:t xml:space="preserve">2</w:t>
            </w:r>
          </w:p>
        </w:tc>
        <w:tc>
          <w:tcPr>
            <w:tcW w:w="1250" w:type="pct"/>
          </w:tcPr>
          <w:p>
            <w:pPr>
              <w:spacing w:before="20" w:after="20"/>
              <w:jc w:val="left"/>
            </w:pPr>
            <w:r>
              <w:rPr>
                <w:sz w:val="17"/>
                <w:szCs w:val="17"/>
                <w:lang w:val="en-IN"/>
              </w:rPr>
              <w:t xml:space="preserve">2</w:t>
            </w:r>
          </w:p>
        </w:tc>
        <w:tc>
          <w:tcPr>
            <w:tcW w:w="1250" w:type="pct"/>
          </w:tcPr>
          <w:p>
            <w:pPr>
              <w:spacing w:before="20" w:after="20"/>
              <w:jc w:val="left"/>
            </w:pPr>
            <w:r>
              <w:rPr>
                <w:sz w:val="17"/>
                <w:szCs w:val="17"/>
                <w:lang w:val="en-IN"/>
              </w:rPr>
              <w:t xml:space="preserve">0</w:t>
            </w:r>
          </w:p>
        </w:tc>
      </w:tr>
      <w:tr>
        <w:trPr>
          <w:cantSplit/>
        </w:trPr>
        <w:tc>
          <w:tcPr>
            <w:tcW w:w="1250" w:type="pct"/>
          </w:tcPr>
          <w:p>
            <w:pPr>
              <w:spacing w:before="20" w:after="20"/>
              <w:jc w:val="left"/>
            </w:pPr>
            <w:r>
              <w:rPr>
                <w:sz w:val="17"/>
                <w:szCs w:val="17"/>
                <w:lang w:val="en-IN"/>
              </w:rPr>
              <w:t xml:space="preserve">Medium</w:t>
            </w:r>
          </w:p>
        </w:tc>
        <w:tc>
          <w:tcPr>
            <w:tcW w:w="1250" w:type="pct"/>
          </w:tcPr>
          <w:p>
            <w:pPr>
              <w:spacing w:before="20" w:after="20"/>
              <w:jc w:val="left"/>
            </w:pPr>
            <w:r>
              <w:rPr>
                <w:sz w:val="17"/>
                <w:szCs w:val="17"/>
                <w:lang w:val="en-IN"/>
              </w:rPr>
              <w:t xml:space="preserve">4</w:t>
            </w:r>
          </w:p>
        </w:tc>
        <w:tc>
          <w:tcPr>
            <w:tcW w:w="1250" w:type="pct"/>
          </w:tcPr>
          <w:p>
            <w:pPr>
              <w:spacing w:before="20" w:after="20"/>
              <w:jc w:val="left"/>
            </w:pPr>
            <w:r>
              <w:rPr>
                <w:sz w:val="17"/>
                <w:szCs w:val="17"/>
                <w:lang w:val="en-IN"/>
              </w:rPr>
              <w:t xml:space="preserve">2</w:t>
            </w:r>
          </w:p>
        </w:tc>
        <w:tc>
          <w:tcPr>
            <w:tcW w:w="1250" w:type="pct"/>
          </w:tcPr>
          <w:p>
            <w:pPr>
              <w:spacing w:before="20" w:after="20"/>
              <w:jc w:val="left"/>
            </w:pPr>
            <w:r>
              <w:rPr>
                <w:sz w:val="17"/>
                <w:szCs w:val="17"/>
                <w:lang w:val="en-IN"/>
              </w:rPr>
              <w:t xml:space="preserve">2</w:t>
            </w:r>
          </w:p>
        </w:tc>
      </w:tr>
      <w:tr>
        <w:trPr>
          <w:cantSplit/>
        </w:trPr>
        <w:tc>
          <w:tcPr>
            <w:tcW w:w="1250" w:type="pct"/>
          </w:tcPr>
          <w:p>
            <w:pPr>
              <w:spacing w:before="20" w:after="20"/>
              <w:jc w:val="left"/>
            </w:pPr>
            <w:r>
              <w:rPr>
                <w:sz w:val="17"/>
                <w:szCs w:val="17"/>
                <w:lang w:val="en-IN"/>
              </w:rPr>
              <w:t xml:space="preserve">Low</w:t>
            </w:r>
          </w:p>
        </w:tc>
        <w:tc>
          <w:tcPr>
            <w:tcW w:w="1250" w:type="pct"/>
          </w:tcPr>
          <w:p>
            <w:pPr>
              <w:spacing w:before="20" w:after="20"/>
              <w:jc w:val="left"/>
            </w:pPr>
            <w:r>
              <w:rPr>
                <w:sz w:val="17"/>
                <w:szCs w:val="17"/>
                <w:lang w:val="en-IN"/>
              </w:rPr>
              <w:t xml:space="preserve">2</w:t>
            </w:r>
          </w:p>
        </w:tc>
        <w:tc>
          <w:tcPr>
            <w:tcW w:w="1250" w:type="pct"/>
          </w:tcPr>
          <w:p>
            <w:pPr>
              <w:spacing w:before="20" w:after="20"/>
              <w:jc w:val="left"/>
            </w:pPr>
            <w:r>
              <w:rPr>
                <w:sz w:val="17"/>
                <w:szCs w:val="17"/>
                <w:lang w:val="en-IN"/>
              </w:rPr>
              <w:t xml:space="preserve">0</w:t>
            </w:r>
          </w:p>
        </w:tc>
        <w:tc>
          <w:tcPr>
            <w:tcW w:w="1250" w:type="pct"/>
          </w:tcPr>
          <w:p>
            <w:pPr>
              <w:spacing w:before="20" w:after="20"/>
              <w:jc w:val="left"/>
            </w:pPr>
            <w:r>
              <w:rPr>
                <w:sz w:val="17"/>
                <w:szCs w:val="17"/>
                <w:lang w:val="en-IN"/>
              </w:rPr>
              <w:t xml:space="preserve">2</w:t>
            </w:r>
          </w:p>
        </w:tc>
      </w:tr>
      <w:tr>
        <w:trPr>
          <w:cantSplit/>
        </w:trPr>
        <w:tc>
          <w:tcPr>
            <w:tcW w:w="1250" w:type="pct"/>
          </w:tcPr>
          <w:p>
            <w:pPr>
              <w:spacing w:before="20" w:after="20"/>
              <w:jc w:val="left"/>
            </w:pPr>
            <w:r>
              <w:rPr>
                <w:sz w:val="17"/>
                <w:szCs w:val="17"/>
                <w:lang w:val="en-IN"/>
              </w:rPr>
              <w:t xml:space="preserve">Info</w:t>
            </w:r>
          </w:p>
        </w:tc>
        <w:tc>
          <w:tcPr>
            <w:tcW w:w="1250" w:type="pct"/>
          </w:tcPr>
          <w:p>
            <w:pPr>
              <w:spacing w:before="20" w:after="20"/>
              <w:jc w:val="left"/>
            </w:pPr>
            <w:r>
              <w:rPr>
                <w:sz w:val="17"/>
                <w:szCs w:val="17"/>
                <w:lang w:val="en-IN"/>
              </w:rPr>
              <w:t xml:space="preserve">1</w:t>
            </w:r>
          </w:p>
        </w:tc>
        <w:tc>
          <w:tcPr>
            <w:tcW w:w="1250" w:type="pct"/>
          </w:tcPr>
          <w:p>
            <w:pPr>
              <w:spacing w:before="20" w:after="20"/>
              <w:jc w:val="left"/>
            </w:pPr>
            <w:r>
              <w:rPr>
                <w:sz w:val="17"/>
                <w:szCs w:val="17"/>
                <w:lang w:val="en-IN"/>
              </w:rPr>
              <w:t xml:space="preserve">0</w:t>
            </w:r>
          </w:p>
        </w:tc>
        <w:tc>
          <w:tcPr>
            <w:tcW w:w="1250" w:type="pct"/>
          </w:tcPr>
          <w:p>
            <w:pPr>
              <w:spacing w:before="20" w:after="20"/>
              <w:jc w:val="left"/>
            </w:pPr>
            <w:r>
              <w:rPr>
                <w:sz w:val="17"/>
                <w:szCs w:val="17"/>
                <w:lang w:val="en-IN"/>
              </w:rPr>
              <w:t xml:space="preserve">1</w:t>
            </w:r>
          </w:p>
        </w:tc>
      </w:tr>
    </w:tbl>
    <w:p>
      <w:pPr>
        <w:spacing w:before="60" w:after="60"/>
      </w:pPr>
      <w:r>
        <w:rPr>
          <w:lang w:val="en-IN"/>
        </w:rPr>
        <w:t xml:space="preserve"/>
      </w:r>
    </w:p>
    <w:p>
      <w:pPr>
        <w:spacing w:before="60" w:after="60"/>
      </w:pPr>
      <w:r>
        <w:rPr>
          <w:lang w:val="en-IN"/>
        </w:rPr>
        <w:t xml:space="preserve">Every High finding is fixed and verified: after the release the live check found no table or view returning a row to the public key, and the penetration test passes on every validation run.</w:t>
      </w:r>
    </w:p>
    <w:p>
      <w:pPr>
        <w:pStyle w:val="Heading1"/>
      </w:pPr>
      <w:r>
        <w:rPr>
          <w:lang w:val="en-IN"/>
        </w:rPr>
        <w:t xml:space="preserve">Findings</w:t>
      </w:r>
    </w:p>
    <w:tbl>
      <w:tblPr>
        <w:tblStyle w:val="TableGrid"/>
        <w:tblW w:w="5000" w:type="pct"/>
        <w:tblLook w:val="04A0" w:firstRow="1" w:lastRow="0" w:firstColumn="1" w:lastColumn="0" w:noHBand="0" w:noVBand="1"/>
      </w:tblPr>
      <w:tblGrid>
        <w:gridCol w:w="1633"/>
        <w:gridCol w:w="7437"/>
      </w:tblGrid>
      <w:tr>
        <w:trPr>
          <w:tblHeader/>
          <w:cantSplit/>
        </w:trPr>
        <w:tc>
          <w:tcPr>
            <w:tcW w:w="900" w:type="pct"/>
            <w:shd w:val="clear" w:color="auto" w:fill="EBF5FF"/>
          </w:tcPr>
          <w:p>
            <w:pPr>
              <w:spacing w:before="20" w:after="20"/>
              <w:jc w:val="left"/>
            </w:pPr>
            <w:r>
              <w:rPr>
                <w:b/>
                <w:sz w:val="17"/>
                <w:szCs w:val="17"/>
                <w:lang w:val="en-IN"/>
              </w:rPr>
              <w:t xml:space="preserve">F-01</w:t>
            </w:r>
          </w:p>
        </w:tc>
        <w:tc>
          <w:tcPr>
            <w:tcW w:w="4100" w:type="pct"/>
            <w:shd w:val="clear" w:color="auto" w:fill="EBF5FF"/>
          </w:tcPr>
          <w:p>
            <w:pPr>
              <w:spacing w:before="20" w:after="20"/>
              <w:jc w:val="left"/>
            </w:pPr>
            <w:r>
              <w:rPr>
                <w:b/>
                <w:sz w:val="17"/>
                <w:szCs w:val="17"/>
                <w:lang w:val="en-IN"/>
              </w:rPr>
              <w:t xml:space="preserve">The public key alone carried an engineer's permissions</w:t>
            </w:r>
          </w:p>
        </w:tc>
      </w:tr>
      <w:tr>
        <w:trPr>
          <w:cantSplit/>
        </w:trPr>
        <w:tc>
          <w:tcPr>
            <w:tcW w:w="900" w:type="pct"/>
          </w:tcPr>
          <w:p>
            <w:pPr>
              <w:spacing w:before="20" w:after="20"/>
              <w:jc w:val="left"/>
            </w:pPr>
            <w:r>
              <w:rPr>
                <w:sz w:val="17"/>
                <w:szCs w:val="17"/>
                <w:lang w:val="en-IN"/>
              </w:rPr>
              <w:t xml:space="preserve">Severity</w:t>
            </w:r>
          </w:p>
        </w:tc>
        <w:tc>
          <w:tcPr>
            <w:tcW w:w="4100" w:type="pct"/>
          </w:tcPr>
          <w:p>
            <w:pPr>
              <w:spacing w:before="20" w:after="20"/>
              <w:jc w:val="left"/>
            </w:pPr>
            <w:r>
              <w:rPr>
                <w:sz w:val="17"/>
                <w:szCs w:val="17"/>
                <w:lang w:val="en-IN"/>
              </w:rPr>
              <w:t xml:space="preserve">High</w:t>
            </w:r>
          </w:p>
        </w:tc>
      </w:tr>
      <w:tr>
        <w:trPr>
          <w:cantSplit/>
        </w:trPr>
        <w:tc>
          <w:tcPr>
            <w:tcW w:w="900" w:type="pct"/>
          </w:tcPr>
          <w:p>
            <w:pPr>
              <w:spacing w:before="20" w:after="20"/>
              <w:jc w:val="left"/>
            </w:pPr>
            <w:r>
              <w:rPr>
                <w:sz w:val="17"/>
                <w:szCs w:val="17"/>
                <w:lang w:val="en-IN"/>
              </w:rPr>
              <w:t xml:space="preserve">Status</w:t>
            </w:r>
          </w:p>
        </w:tc>
        <w:tc>
          <w:tcPr>
            <w:tcW w:w="4100" w:type="pct"/>
          </w:tcPr>
          <w:p>
            <w:pPr>
              <w:spacing w:before="20" w:after="20"/>
              <w:jc w:val="left"/>
            </w:pPr>
            <w:r>
              <w:rPr>
                <w:sz w:val="17"/>
                <w:szCs w:val="17"/>
                <w:lang w:val="en-IN"/>
              </w:rPr>
              <w:t xml:space="preserve">Fixed</w:t>
            </w:r>
          </w:p>
        </w:tc>
      </w:tr>
      <w:tr>
        <w:trPr>
          <w:cantSplit/>
        </w:trPr>
        <w:tc>
          <w:tcPr>
            <w:tcW w:w="900" w:type="pct"/>
          </w:tcPr>
          <w:p>
            <w:pPr>
              <w:spacing w:before="20" w:after="20"/>
              <w:jc w:val="left"/>
            </w:pPr>
            <w:r>
              <w:rPr>
                <w:sz w:val="17"/>
                <w:szCs w:val="17"/>
                <w:lang w:val="en-IN"/>
              </w:rPr>
              <w:t xml:space="preserve">Found by</w:t>
            </w:r>
          </w:p>
        </w:tc>
        <w:tc>
          <w:tcPr>
            <w:tcW w:w="4100" w:type="pct"/>
          </w:tcPr>
          <w:p>
            <w:pPr>
              <w:spacing w:before="20" w:after="20"/>
              <w:jc w:val="left"/>
            </w:pPr>
            <w:r>
              <w:rPr>
                <w:sz w:val="17"/>
                <w:szCs w:val="17"/>
                <w:lang w:val="en-IN"/>
              </w:rPr>
              <w:t xml:space="preserve">Penetration test; confirmed live (read only)</w:t>
            </w:r>
          </w:p>
        </w:tc>
      </w:tr>
      <w:tr>
        <w:trPr>
          <w:cantSplit/>
        </w:trPr>
        <w:tc>
          <w:tcPr>
            <w:tcW w:w="900" w:type="pct"/>
          </w:tcPr>
          <w:p>
            <w:pPr>
              <w:spacing w:before="20" w:after="20"/>
              <w:jc w:val="left"/>
            </w:pPr>
            <w:r>
              <w:rPr>
                <w:sz w:val="17"/>
                <w:szCs w:val="17"/>
                <w:lang w:val="en-IN"/>
              </w:rPr>
              <w:t xml:space="preserve">What was found</w:t>
            </w:r>
          </w:p>
        </w:tc>
        <w:tc>
          <w:tcPr>
            <w:tcW w:w="4100" w:type="pct"/>
          </w:tcPr>
          <w:p>
            <w:pPr>
              <w:spacing w:before="20" w:after="20"/>
              <w:jc w:val="left"/>
            </w:pPr>
            <w:r>
              <w:rPr>
                <w:sz w:val="17"/>
                <w:szCs w:val="17"/>
                <w:lang w:val="en-IN"/>
              </w:rPr>
              <w:t xml:space="preserve">With nobody signed in, the permission check fell back to the Engineer role's permissions. Anybody holding the public key — which is in the website for anyone to read — could read call, visit-report, sale, contract, feedback and quality-objective records (25 tables and views on the live project returned rows), and could add call requests, spare requests, feedback, consumption lines and pending registrations.</w:t>
            </w:r>
          </w:p>
        </w:tc>
      </w:tr>
      <w:tr>
        <w:trPr>
          <w:cantSplit/>
        </w:trPr>
        <w:tc>
          <w:tcPr>
            <w:tcW w:w="900" w:type="pct"/>
          </w:tcPr>
          <w:p>
            <w:pPr>
              <w:spacing w:before="20" w:after="20"/>
              <w:jc w:val="left"/>
            </w:pPr>
            <w:r>
              <w:rPr>
                <w:sz w:val="17"/>
                <w:szCs w:val="17"/>
                <w:lang w:val="en-IN"/>
              </w:rPr>
              <w:t xml:space="preserve">Fix / action</w:t>
            </w:r>
          </w:p>
        </w:tc>
        <w:tc>
          <w:tcPr>
            <w:tcW w:w="4100" w:type="pct"/>
          </w:tcPr>
          <w:p>
            <w:pPr>
              <w:spacing w:before="20" w:after="20"/>
              <w:jc w:val="left"/>
            </w:pPr>
            <w:r>
              <w:rPr>
                <w:sz w:val="17"/>
                <w:szCs w:val="17"/>
                <w:lang w:val="en-IN"/>
              </w:rPr>
              <w:t xml:space="preserve">Migration 0461: a caller who is not signed in holds no permission. Re-checked live after the release: no table or view returns a row to the public key.</w:t>
            </w:r>
          </w:p>
        </w:tc>
      </w:tr>
      <w:tr>
        <w:trPr>
          <w:cantSplit/>
        </w:trPr>
        <w:tc>
          <w:tcPr>
            <w:tcW w:w="900" w:type="pct"/>
          </w:tcPr>
          <w:p>
            <w:pPr>
              <w:spacing w:before="20" w:after="20"/>
              <w:jc w:val="left"/>
            </w:pPr>
            <w:r>
              <w:rPr>
                <w:sz w:val="17"/>
                <w:szCs w:val="17"/>
                <w:lang w:val="en-IN"/>
              </w:rPr>
              <w:t xml:space="preserve">References</w:t>
            </w:r>
          </w:p>
        </w:tc>
        <w:tc>
          <w:tcPr>
            <w:tcW w:w="4100" w:type="pct"/>
          </w:tcPr>
          <w:p>
            <w:pPr>
              <w:spacing w:before="20" w:after="20"/>
              <w:jc w:val="left"/>
            </w:pPr>
            <w:r>
              <w:rPr>
                <w:sz w:val="17"/>
                <w:szCs w:val="17"/>
                <w:lang w:val="en-IN"/>
              </w:rPr>
              <w:t xml:space="preserve">D-174, FRS-285.1, OQ-304, 0461_anonymous_caller_holds_nothing.sql</w:t>
            </w:r>
          </w:p>
        </w:tc>
      </w:tr>
    </w:tbl>
    <w:p>
      <w:pPr>
        <w:spacing w:before="60" w:after="60"/>
      </w:pPr>
      <w:r>
        <w:rPr>
          <w:lang w:val="en-IN"/>
        </w:rPr>
        <w:t xml:space="preserve"/>
      </w:r>
    </w:p>
    <w:tbl>
      <w:tblPr>
        <w:tblStyle w:val="TableGrid"/>
        <w:tblW w:w="5000" w:type="pct"/>
        <w:tblLook w:val="04A0" w:firstRow="1" w:lastRow="0" w:firstColumn="1" w:lastColumn="0" w:noHBand="0" w:noVBand="1"/>
      </w:tblPr>
      <w:tblGrid>
        <w:gridCol w:w="1633"/>
        <w:gridCol w:w="7437"/>
      </w:tblGrid>
      <w:tr>
        <w:trPr>
          <w:tblHeader/>
          <w:cantSplit/>
        </w:trPr>
        <w:tc>
          <w:tcPr>
            <w:tcW w:w="900" w:type="pct"/>
            <w:shd w:val="clear" w:color="auto" w:fill="EBF5FF"/>
          </w:tcPr>
          <w:p>
            <w:pPr>
              <w:spacing w:before="20" w:after="20"/>
              <w:jc w:val="left"/>
            </w:pPr>
            <w:r>
              <w:rPr>
                <w:b/>
                <w:sz w:val="17"/>
                <w:szCs w:val="17"/>
                <w:lang w:val="en-IN"/>
              </w:rPr>
              <w:t xml:space="preserve">F-02</w:t>
            </w:r>
          </w:p>
        </w:tc>
        <w:tc>
          <w:tcPr>
            <w:tcW w:w="4100" w:type="pct"/>
            <w:shd w:val="clear" w:color="auto" w:fill="EBF5FF"/>
          </w:tcPr>
          <w:p>
            <w:pPr>
              <w:spacing w:before="20" w:after="20"/>
              <w:jc w:val="left"/>
            </w:pPr>
            <w:r>
              <w:rPr>
                <w:b/>
                <w:sz w:val="17"/>
                <w:szCs w:val="17"/>
                <w:lang w:val="en-IN"/>
              </w:rPr>
              <w:t xml:space="preserve">Anybody could make a login and hold an engineer's rights</w:t>
            </w:r>
          </w:p>
        </w:tc>
      </w:tr>
      <w:tr>
        <w:trPr>
          <w:cantSplit/>
        </w:trPr>
        <w:tc>
          <w:tcPr>
            <w:tcW w:w="900" w:type="pct"/>
          </w:tcPr>
          <w:p>
            <w:pPr>
              <w:spacing w:before="20" w:after="20"/>
              <w:jc w:val="left"/>
            </w:pPr>
            <w:r>
              <w:rPr>
                <w:sz w:val="17"/>
                <w:szCs w:val="17"/>
                <w:lang w:val="en-IN"/>
              </w:rPr>
              <w:t xml:space="preserve">Severity</w:t>
            </w:r>
          </w:p>
        </w:tc>
        <w:tc>
          <w:tcPr>
            <w:tcW w:w="4100" w:type="pct"/>
          </w:tcPr>
          <w:p>
            <w:pPr>
              <w:spacing w:before="20" w:after="20"/>
              <w:jc w:val="left"/>
            </w:pPr>
            <w:r>
              <w:rPr>
                <w:sz w:val="17"/>
                <w:szCs w:val="17"/>
                <w:lang w:val="en-IN"/>
              </w:rPr>
              <w:t xml:space="preserve">High</w:t>
            </w:r>
          </w:p>
        </w:tc>
      </w:tr>
      <w:tr>
        <w:trPr>
          <w:cantSplit/>
        </w:trPr>
        <w:tc>
          <w:tcPr>
            <w:tcW w:w="900" w:type="pct"/>
          </w:tcPr>
          <w:p>
            <w:pPr>
              <w:spacing w:before="20" w:after="20"/>
              <w:jc w:val="left"/>
            </w:pPr>
            <w:r>
              <w:rPr>
                <w:sz w:val="17"/>
                <w:szCs w:val="17"/>
                <w:lang w:val="en-IN"/>
              </w:rPr>
              <w:t xml:space="preserve">Status</w:t>
            </w:r>
          </w:p>
        </w:tc>
        <w:tc>
          <w:tcPr>
            <w:tcW w:w="4100" w:type="pct"/>
          </w:tcPr>
          <w:p>
            <w:pPr>
              <w:spacing w:before="20" w:after="20"/>
              <w:jc w:val="left"/>
            </w:pPr>
            <w:r>
              <w:rPr>
                <w:sz w:val="17"/>
                <w:szCs w:val="17"/>
                <w:lang w:val="en-IN"/>
              </w:rPr>
              <w:t xml:space="preserve">Fixed</w:t>
            </w:r>
          </w:p>
        </w:tc>
      </w:tr>
      <w:tr>
        <w:trPr>
          <w:cantSplit/>
        </w:trPr>
        <w:tc>
          <w:tcPr>
            <w:tcW w:w="900" w:type="pct"/>
          </w:tcPr>
          <w:p>
            <w:pPr>
              <w:spacing w:before="20" w:after="20"/>
              <w:jc w:val="left"/>
            </w:pPr>
            <w:r>
              <w:rPr>
                <w:sz w:val="17"/>
                <w:szCs w:val="17"/>
                <w:lang w:val="en-IN"/>
              </w:rPr>
              <w:t xml:space="preserve">Found by</w:t>
            </w:r>
          </w:p>
        </w:tc>
        <w:tc>
          <w:tcPr>
            <w:tcW w:w="4100" w:type="pct"/>
          </w:tcPr>
          <w:p>
            <w:pPr>
              <w:spacing w:before="20" w:after="20"/>
              <w:jc w:val="left"/>
            </w:pPr>
            <w:r>
              <w:rPr>
                <w:sz w:val="17"/>
                <w:szCs w:val="17"/>
                <w:lang w:val="en-IN"/>
              </w:rPr>
              <w:t xml:space="preserve">Live read-only check; penetration test</w:t>
            </w:r>
          </w:p>
        </w:tc>
      </w:tr>
      <w:tr>
        <w:trPr>
          <w:cantSplit/>
        </w:trPr>
        <w:tc>
          <w:tcPr>
            <w:tcW w:w="900" w:type="pct"/>
          </w:tcPr>
          <w:p>
            <w:pPr>
              <w:spacing w:before="20" w:after="20"/>
              <w:jc w:val="left"/>
            </w:pPr>
            <w:r>
              <w:rPr>
                <w:sz w:val="17"/>
                <w:szCs w:val="17"/>
                <w:lang w:val="en-IN"/>
              </w:rPr>
              <w:t xml:space="preserve">What was found</w:t>
            </w:r>
          </w:p>
        </w:tc>
        <w:tc>
          <w:tcPr>
            <w:tcW w:w="4100" w:type="pct"/>
          </w:tcPr>
          <w:p>
            <w:pPr>
              <w:spacing w:before="20" w:after="20"/>
              <w:jc w:val="left"/>
            </w:pPr>
            <w:r>
              <w:rPr>
                <w:sz w:val="17"/>
                <w:szCs w:val="17"/>
                <w:lang w:val="en-IN"/>
              </w:rPr>
              <w:t xml:space="preserve">Self sign-up is open on the live project with no email confirmation (email and Google). At first sign-in every login was given a profile with the Engineer role, whether or not the person was on the User Master. A login with no profile could also read the Party Master, Product Database, User Master, master lists and settings. Two live profiles were found on no User Master row: one administrator, one engineer made this month.</w:t>
            </w:r>
          </w:p>
        </w:tc>
      </w:tr>
      <w:tr>
        <w:trPr>
          <w:cantSplit/>
        </w:trPr>
        <w:tc>
          <w:tcPr>
            <w:tcW w:w="900" w:type="pct"/>
          </w:tcPr>
          <w:p>
            <w:pPr>
              <w:spacing w:before="20" w:after="20"/>
              <w:jc w:val="left"/>
            </w:pPr>
            <w:r>
              <w:rPr>
                <w:sz w:val="17"/>
                <w:szCs w:val="17"/>
                <w:lang w:val="en-IN"/>
              </w:rPr>
              <w:t xml:space="preserve">Fix / action</w:t>
            </w:r>
          </w:p>
        </w:tc>
        <w:tc>
          <w:tcPr>
            <w:tcW w:w="4100" w:type="pct"/>
          </w:tcPr>
          <w:p>
            <w:pPr>
              <w:spacing w:before="20" w:after="20"/>
              <w:jc w:val="left"/>
            </w:pPr>
            <w:r>
              <w:rPr>
                <w:sz w:val="17"/>
                <w:szCs w:val="17"/>
                <w:lang w:val="en-IN"/>
              </w:rPr>
              <w:t xml:space="preserve">Migration 0463: a profile only for an address on an active User Master row. Migration 0464: a login with no profile reads and writes no row of the 24 tables readable by "any signed-in user". The two profiles are for the owner to review (SQL editor: _profiles_not_on_user_master.sql).</w:t>
            </w:r>
          </w:p>
        </w:tc>
      </w:tr>
      <w:tr>
        <w:trPr>
          <w:cantSplit/>
        </w:trPr>
        <w:tc>
          <w:tcPr>
            <w:tcW w:w="900" w:type="pct"/>
          </w:tcPr>
          <w:p>
            <w:pPr>
              <w:spacing w:before="20" w:after="20"/>
              <w:jc w:val="left"/>
            </w:pPr>
            <w:r>
              <w:rPr>
                <w:sz w:val="17"/>
                <w:szCs w:val="17"/>
                <w:lang w:val="en-IN"/>
              </w:rPr>
              <w:t xml:space="preserve">References</w:t>
            </w:r>
          </w:p>
        </w:tc>
        <w:tc>
          <w:tcPr>
            <w:tcW w:w="4100" w:type="pct"/>
          </w:tcPr>
          <w:p>
            <w:pPr>
              <w:spacing w:before="20" w:after="20"/>
              <w:jc w:val="left"/>
            </w:pPr>
            <w:r>
              <w:rPr>
                <w:sz w:val="17"/>
                <w:szCs w:val="17"/>
                <w:lang w:val="en-IN"/>
              </w:rPr>
              <w:t xml:space="preserve">D-175, FRS-285.2, FRS-285.3, 0463_profile_only_for_the_user_master.sql, 0464_no_profile_no_rows.sql</w:t>
            </w:r>
          </w:p>
        </w:tc>
      </w:tr>
    </w:tbl>
    <w:p>
      <w:pPr>
        <w:spacing w:before="60" w:after="60"/>
      </w:pPr>
      <w:r>
        <w:rPr>
          <w:lang w:val="en-IN"/>
        </w:rPr>
        <w:t xml:space="preserve"/>
      </w:r>
    </w:p>
    <w:tbl>
      <w:tblPr>
        <w:tblStyle w:val="TableGrid"/>
        <w:tblW w:w="5000" w:type="pct"/>
        <w:tblLook w:val="04A0" w:firstRow="1" w:lastRow="0" w:firstColumn="1" w:lastColumn="0" w:noHBand="0" w:noVBand="1"/>
      </w:tblPr>
      <w:tblGrid>
        <w:gridCol w:w="1633"/>
        <w:gridCol w:w="7437"/>
      </w:tblGrid>
      <w:tr>
        <w:trPr>
          <w:tblHeader/>
          <w:cantSplit/>
        </w:trPr>
        <w:tc>
          <w:tcPr>
            <w:tcW w:w="900" w:type="pct"/>
            <w:shd w:val="clear" w:color="auto" w:fill="EBF5FF"/>
          </w:tcPr>
          <w:p>
            <w:pPr>
              <w:spacing w:before="20" w:after="20"/>
              <w:jc w:val="left"/>
            </w:pPr>
            <w:r>
              <w:rPr>
                <w:b/>
                <w:sz w:val="17"/>
                <w:szCs w:val="17"/>
                <w:lang w:val="en-IN"/>
              </w:rPr>
              <w:t xml:space="preserve">F-03</w:t>
            </w:r>
          </w:p>
        </w:tc>
        <w:tc>
          <w:tcPr>
            <w:tcW w:w="4100" w:type="pct"/>
            <w:shd w:val="clear" w:color="auto" w:fill="EBF5FF"/>
          </w:tcPr>
          <w:p>
            <w:pPr>
              <w:spacing w:before="20" w:after="20"/>
              <w:jc w:val="left"/>
            </w:pPr>
            <w:r>
              <w:rPr>
                <w:b/>
                <w:sz w:val="17"/>
                <w:szCs w:val="17"/>
                <w:lang w:val="en-IN"/>
              </w:rPr>
              <w:t xml:space="preserve">Internal functions callable through the API</w:t>
            </w:r>
          </w:p>
        </w:tc>
      </w:tr>
      <w:tr>
        <w:trPr>
          <w:cantSplit/>
        </w:trPr>
        <w:tc>
          <w:tcPr>
            <w:tcW w:w="900" w:type="pct"/>
          </w:tcPr>
          <w:p>
            <w:pPr>
              <w:spacing w:before="20" w:after="20"/>
              <w:jc w:val="left"/>
            </w:pPr>
            <w:r>
              <w:rPr>
                <w:sz w:val="17"/>
                <w:szCs w:val="17"/>
                <w:lang w:val="en-IN"/>
              </w:rPr>
              <w:t xml:space="preserve">Severity</w:t>
            </w:r>
          </w:p>
        </w:tc>
        <w:tc>
          <w:tcPr>
            <w:tcW w:w="4100" w:type="pct"/>
          </w:tcPr>
          <w:p>
            <w:pPr>
              <w:spacing w:before="20" w:after="20"/>
              <w:jc w:val="left"/>
            </w:pPr>
            <w:r>
              <w:rPr>
                <w:sz w:val="17"/>
                <w:szCs w:val="17"/>
                <w:lang w:val="en-IN"/>
              </w:rPr>
              <w:t xml:space="preserve">Medium</w:t>
            </w:r>
          </w:p>
        </w:tc>
      </w:tr>
      <w:tr>
        <w:trPr>
          <w:cantSplit/>
        </w:trPr>
        <w:tc>
          <w:tcPr>
            <w:tcW w:w="900" w:type="pct"/>
          </w:tcPr>
          <w:p>
            <w:pPr>
              <w:spacing w:before="20" w:after="20"/>
              <w:jc w:val="left"/>
            </w:pPr>
            <w:r>
              <w:rPr>
                <w:sz w:val="17"/>
                <w:szCs w:val="17"/>
                <w:lang w:val="en-IN"/>
              </w:rPr>
              <w:t xml:space="preserve">Status</w:t>
            </w:r>
          </w:p>
        </w:tc>
        <w:tc>
          <w:tcPr>
            <w:tcW w:w="4100" w:type="pct"/>
          </w:tcPr>
          <w:p>
            <w:pPr>
              <w:spacing w:before="20" w:after="20"/>
              <w:jc w:val="left"/>
            </w:pPr>
            <w:r>
              <w:rPr>
                <w:sz w:val="17"/>
                <w:szCs w:val="17"/>
                <w:lang w:val="en-IN"/>
              </w:rPr>
              <w:t xml:space="preserve">Fixed</w:t>
            </w:r>
          </w:p>
        </w:tc>
      </w:tr>
      <w:tr>
        <w:trPr>
          <w:cantSplit/>
        </w:trPr>
        <w:tc>
          <w:tcPr>
            <w:tcW w:w="900" w:type="pct"/>
          </w:tcPr>
          <w:p>
            <w:pPr>
              <w:spacing w:before="20" w:after="20"/>
              <w:jc w:val="left"/>
            </w:pPr>
            <w:r>
              <w:rPr>
                <w:sz w:val="17"/>
                <w:szCs w:val="17"/>
                <w:lang w:val="en-IN"/>
              </w:rPr>
              <w:t xml:space="preserve">Found by</w:t>
            </w:r>
          </w:p>
        </w:tc>
        <w:tc>
          <w:tcPr>
            <w:tcW w:w="4100" w:type="pct"/>
          </w:tcPr>
          <w:p>
            <w:pPr>
              <w:spacing w:before="20" w:after="20"/>
              <w:jc w:val="left"/>
            </w:pPr>
            <w:r>
              <w:rPr>
                <w:sz w:val="17"/>
                <w:szCs w:val="17"/>
                <w:lang w:val="en-IN"/>
              </w:rPr>
              <w:t xml:space="preserve">Penetration test</w:t>
            </w:r>
          </w:p>
        </w:tc>
      </w:tr>
      <w:tr>
        <w:trPr>
          <w:cantSplit/>
        </w:trPr>
        <w:tc>
          <w:tcPr>
            <w:tcW w:w="900" w:type="pct"/>
          </w:tcPr>
          <w:p>
            <w:pPr>
              <w:spacing w:before="20" w:after="20"/>
              <w:jc w:val="left"/>
            </w:pPr>
            <w:r>
              <w:rPr>
                <w:sz w:val="17"/>
                <w:szCs w:val="17"/>
                <w:lang w:val="en-IN"/>
              </w:rPr>
              <w:t xml:space="preserve">What was found</w:t>
            </w:r>
          </w:p>
        </w:tc>
        <w:tc>
          <w:tcPr>
            <w:tcW w:w="4100" w:type="pct"/>
          </w:tcPr>
          <w:p>
            <w:pPr>
              <w:spacing w:before="20" w:after="20"/>
              <w:jc w:val="left"/>
            </w:pPr>
            <w:r>
              <w:rPr>
                <w:sz w:val="17"/>
                <w:szCs w:val="17"/>
                <w:lang w:val="en-IN"/>
              </w:rPr>
              <w:t xml:space="preserve">spare_request_rollup() — which re-derives a request's stage past the stage guard — was callable by any API role, and the dispatch and receipt actions by the not-signed-in role.</w:t>
            </w:r>
          </w:p>
        </w:tc>
      </w:tr>
      <w:tr>
        <w:trPr>
          <w:cantSplit/>
        </w:trPr>
        <w:tc>
          <w:tcPr>
            <w:tcW w:w="900" w:type="pct"/>
          </w:tcPr>
          <w:p>
            <w:pPr>
              <w:spacing w:before="20" w:after="20"/>
              <w:jc w:val="left"/>
            </w:pPr>
            <w:r>
              <w:rPr>
                <w:sz w:val="17"/>
                <w:szCs w:val="17"/>
                <w:lang w:val="en-IN"/>
              </w:rPr>
              <w:t xml:space="preserve">Fix / action</w:t>
            </w:r>
          </w:p>
        </w:tc>
        <w:tc>
          <w:tcPr>
            <w:tcW w:w="4100" w:type="pct"/>
          </w:tcPr>
          <w:p>
            <w:pPr>
              <w:spacing w:before="20" w:after="20"/>
              <w:jc w:val="left"/>
            </w:pPr>
            <w:r>
              <w:rPr>
                <w:sz w:val="17"/>
                <w:szCs w:val="17"/>
                <w:lang w:val="en-IN"/>
              </w:rPr>
              <w:t xml:space="preserve">Migration 0462: the rollup withdrawn from every API role; dispatch and receipt from the not-signed-in role.</w:t>
            </w:r>
          </w:p>
        </w:tc>
      </w:tr>
      <w:tr>
        <w:trPr>
          <w:cantSplit/>
        </w:trPr>
        <w:tc>
          <w:tcPr>
            <w:tcW w:w="900" w:type="pct"/>
          </w:tcPr>
          <w:p>
            <w:pPr>
              <w:spacing w:before="20" w:after="20"/>
              <w:jc w:val="left"/>
            </w:pPr>
            <w:r>
              <w:rPr>
                <w:sz w:val="17"/>
                <w:szCs w:val="17"/>
                <w:lang w:val="en-IN"/>
              </w:rPr>
              <w:t xml:space="preserve">References</w:t>
            </w:r>
          </w:p>
        </w:tc>
        <w:tc>
          <w:tcPr>
            <w:tcW w:w="4100" w:type="pct"/>
          </w:tcPr>
          <w:p>
            <w:pPr>
              <w:spacing w:before="20" w:after="20"/>
              <w:jc w:val="left"/>
            </w:pPr>
            <w:r>
              <w:rPr>
                <w:sz w:val="17"/>
                <w:szCs w:val="17"/>
                <w:lang w:val="en-IN"/>
              </w:rPr>
              <w:t xml:space="preserve">FRS-285.4, 0462_security_scan_lockdown.sql</w:t>
            </w:r>
          </w:p>
        </w:tc>
      </w:tr>
    </w:tbl>
    <w:p>
      <w:pPr>
        <w:spacing w:before="60" w:after="60"/>
      </w:pPr>
      <w:r>
        <w:rPr>
          <w:lang w:val="en-IN"/>
        </w:rPr>
        <w:t xml:space="preserve"/>
      </w:r>
    </w:p>
    <w:tbl>
      <w:tblPr>
        <w:tblStyle w:val="TableGrid"/>
        <w:tblW w:w="5000" w:type="pct"/>
        <w:tblLook w:val="04A0" w:firstRow="1" w:lastRow="0" w:firstColumn="1" w:lastColumn="0" w:noHBand="0" w:noVBand="1"/>
      </w:tblPr>
      <w:tblGrid>
        <w:gridCol w:w="1633"/>
        <w:gridCol w:w="7437"/>
      </w:tblGrid>
      <w:tr>
        <w:trPr>
          <w:tblHeader/>
          <w:cantSplit/>
        </w:trPr>
        <w:tc>
          <w:tcPr>
            <w:tcW w:w="900" w:type="pct"/>
            <w:shd w:val="clear" w:color="auto" w:fill="EBF5FF"/>
          </w:tcPr>
          <w:p>
            <w:pPr>
              <w:spacing w:before="20" w:after="20"/>
              <w:jc w:val="left"/>
            </w:pPr>
            <w:r>
              <w:rPr>
                <w:b/>
                <w:sz w:val="17"/>
                <w:szCs w:val="17"/>
                <w:lang w:val="en-IN"/>
              </w:rPr>
              <w:t xml:space="preserve">F-04</w:t>
            </w:r>
          </w:p>
        </w:tc>
        <w:tc>
          <w:tcPr>
            <w:tcW w:w="4100" w:type="pct"/>
            <w:shd w:val="clear" w:color="auto" w:fill="EBF5FF"/>
          </w:tcPr>
          <w:p>
            <w:pPr>
              <w:spacing w:before="20" w:after="20"/>
              <w:jc w:val="left"/>
            </w:pPr>
            <w:r>
              <w:rPr>
                <w:b/>
                <w:sz w:val="17"/>
                <w:szCs w:val="17"/>
                <w:lang w:val="en-IN"/>
              </w:rPr>
              <w:t xml:space="preserve">A link saved as javascript: would have run inside RITHI</w:t>
            </w:r>
          </w:p>
        </w:tc>
      </w:tr>
      <w:tr>
        <w:trPr>
          <w:cantSplit/>
        </w:trPr>
        <w:tc>
          <w:tcPr>
            <w:tcW w:w="900" w:type="pct"/>
          </w:tcPr>
          <w:p>
            <w:pPr>
              <w:spacing w:before="20" w:after="20"/>
              <w:jc w:val="left"/>
            </w:pPr>
            <w:r>
              <w:rPr>
                <w:sz w:val="17"/>
                <w:szCs w:val="17"/>
                <w:lang w:val="en-IN"/>
              </w:rPr>
              <w:t xml:space="preserve">Severity</w:t>
            </w:r>
          </w:p>
        </w:tc>
        <w:tc>
          <w:tcPr>
            <w:tcW w:w="4100" w:type="pct"/>
          </w:tcPr>
          <w:p>
            <w:pPr>
              <w:spacing w:before="20" w:after="20"/>
              <w:jc w:val="left"/>
            </w:pPr>
            <w:r>
              <w:rPr>
                <w:sz w:val="17"/>
                <w:szCs w:val="17"/>
                <w:lang w:val="en-IN"/>
              </w:rPr>
              <w:t xml:space="preserve">Medium</w:t>
            </w:r>
          </w:p>
        </w:tc>
      </w:tr>
      <w:tr>
        <w:trPr>
          <w:cantSplit/>
        </w:trPr>
        <w:tc>
          <w:tcPr>
            <w:tcW w:w="900" w:type="pct"/>
          </w:tcPr>
          <w:p>
            <w:pPr>
              <w:spacing w:before="20" w:after="20"/>
              <w:jc w:val="left"/>
            </w:pPr>
            <w:r>
              <w:rPr>
                <w:sz w:val="17"/>
                <w:szCs w:val="17"/>
                <w:lang w:val="en-IN"/>
              </w:rPr>
              <w:t xml:space="preserve">Status</w:t>
            </w:r>
          </w:p>
        </w:tc>
        <w:tc>
          <w:tcPr>
            <w:tcW w:w="4100" w:type="pct"/>
          </w:tcPr>
          <w:p>
            <w:pPr>
              <w:spacing w:before="20" w:after="20"/>
              <w:jc w:val="left"/>
            </w:pPr>
            <w:r>
              <w:rPr>
                <w:sz w:val="17"/>
                <w:szCs w:val="17"/>
                <w:lang w:val="en-IN"/>
              </w:rPr>
              <w:t xml:space="preserve">Fixed</w:t>
            </w:r>
          </w:p>
        </w:tc>
      </w:tr>
      <w:tr>
        <w:trPr>
          <w:cantSplit/>
        </w:trPr>
        <w:tc>
          <w:tcPr>
            <w:tcW w:w="900" w:type="pct"/>
          </w:tcPr>
          <w:p>
            <w:pPr>
              <w:spacing w:before="20" w:after="20"/>
              <w:jc w:val="left"/>
            </w:pPr>
            <w:r>
              <w:rPr>
                <w:sz w:val="17"/>
                <w:szCs w:val="17"/>
                <w:lang w:val="en-IN"/>
              </w:rPr>
              <w:t xml:space="preserve">Found by</w:t>
            </w:r>
          </w:p>
        </w:tc>
        <w:tc>
          <w:tcPr>
            <w:tcW w:w="4100" w:type="pct"/>
          </w:tcPr>
          <w:p>
            <w:pPr>
              <w:spacing w:before="20" w:after="20"/>
              <w:jc w:val="left"/>
            </w:pPr>
            <w:r>
              <w:rPr>
                <w:sz w:val="17"/>
                <w:szCs w:val="17"/>
                <w:lang w:val="en-IN"/>
              </w:rPr>
              <w:t xml:space="preserve">Code review</w:t>
            </w:r>
          </w:p>
        </w:tc>
      </w:tr>
      <w:tr>
        <w:trPr>
          <w:cantSplit/>
        </w:trPr>
        <w:tc>
          <w:tcPr>
            <w:tcW w:w="900" w:type="pct"/>
          </w:tcPr>
          <w:p>
            <w:pPr>
              <w:spacing w:before="20" w:after="20"/>
              <w:jc w:val="left"/>
            </w:pPr>
            <w:r>
              <w:rPr>
                <w:sz w:val="17"/>
                <w:szCs w:val="17"/>
                <w:lang w:val="en-IN"/>
              </w:rPr>
              <w:t xml:space="preserve">What was found</w:t>
            </w:r>
          </w:p>
        </w:tc>
        <w:tc>
          <w:tcPr>
            <w:tcW w:w="4100" w:type="pct"/>
          </w:tcPr>
          <w:p>
            <w:pPr>
              <w:spacing w:before="20" w:after="20"/>
              <w:jc w:val="left"/>
            </w:pPr>
            <w:r>
              <w:rPr>
                <w:sz w:val="17"/>
                <w:szCs w:val="17"/>
                <w:lang w:val="en-IN"/>
              </w:rPr>
              <w:t xml:space="preserve">30 links built from stored data — call-request documents, attachments, KYC records, Drive links — were used as given. A link saved as javascript:… would run inside RITHI, under whoever clicked it; an engineer can attach links to a call request that office users open. The rich editor also loaded stored article HTML without sanitising it.</w:t>
            </w:r>
          </w:p>
        </w:tc>
      </w:tr>
      <w:tr>
        <w:trPr>
          <w:cantSplit/>
        </w:trPr>
        <w:tc>
          <w:tcPr>
            <w:tcW w:w="900" w:type="pct"/>
          </w:tcPr>
          <w:p>
            <w:pPr>
              <w:spacing w:before="20" w:after="20"/>
              <w:jc w:val="left"/>
            </w:pPr>
            <w:r>
              <w:rPr>
                <w:sz w:val="17"/>
                <w:szCs w:val="17"/>
                <w:lang w:val="en-IN"/>
              </w:rPr>
              <w:t xml:space="preserve">Fix / action</w:t>
            </w:r>
          </w:p>
        </w:tc>
        <w:tc>
          <w:tcPr>
            <w:tcW w:w="4100" w:type="pct"/>
          </w:tcPr>
          <w:p>
            <w:pPr>
              <w:spacing w:before="20" w:after="20"/>
              <w:jc w:val="left"/>
            </w:pPr>
            <w:r>
              <w:rPr>
                <w:sz w:val="17"/>
                <w:szCs w:val="17"/>
                <w:lang w:val="en-IN"/>
              </w:rPr>
              <w:t xml:space="preserve">safeUrl() on every such link: only web, email, phone and in-app links open. The editor sanitises what it loads. check:ui refuses a raw link.</w:t>
            </w:r>
          </w:p>
        </w:tc>
      </w:tr>
      <w:tr>
        <w:trPr>
          <w:cantSplit/>
        </w:trPr>
        <w:tc>
          <w:tcPr>
            <w:tcW w:w="900" w:type="pct"/>
          </w:tcPr>
          <w:p>
            <w:pPr>
              <w:spacing w:before="20" w:after="20"/>
              <w:jc w:val="left"/>
            </w:pPr>
            <w:r>
              <w:rPr>
                <w:sz w:val="17"/>
                <w:szCs w:val="17"/>
                <w:lang w:val="en-IN"/>
              </w:rPr>
              <w:t xml:space="preserve">References</w:t>
            </w:r>
          </w:p>
        </w:tc>
        <w:tc>
          <w:tcPr>
            <w:tcW w:w="4100" w:type="pct"/>
          </w:tcPr>
          <w:p>
            <w:pPr>
              <w:spacing w:before="20" w:after="20"/>
              <w:jc w:val="left"/>
            </w:pPr>
            <w:r>
              <w:rPr>
                <w:sz w:val="17"/>
                <w:szCs w:val="17"/>
                <w:lang w:val="en-IN"/>
              </w:rPr>
              <w:t xml:space="preserve">D-176, FRS-285.5</w:t>
            </w:r>
          </w:p>
        </w:tc>
      </w:tr>
    </w:tbl>
    <w:p>
      <w:pPr>
        <w:spacing w:before="60" w:after="60"/>
      </w:pPr>
      <w:r>
        <w:rPr>
          <w:lang w:val="en-IN"/>
        </w:rPr>
        <w:t xml:space="preserve"/>
      </w:r>
    </w:p>
    <w:tbl>
      <w:tblPr>
        <w:tblStyle w:val="TableGrid"/>
        <w:tblW w:w="5000" w:type="pct"/>
        <w:tblLook w:val="04A0" w:firstRow="1" w:lastRow="0" w:firstColumn="1" w:lastColumn="0" w:noHBand="0" w:noVBand="1"/>
      </w:tblPr>
      <w:tblGrid>
        <w:gridCol w:w="1633"/>
        <w:gridCol w:w="7437"/>
      </w:tblGrid>
      <w:tr>
        <w:trPr>
          <w:tblHeader/>
          <w:cantSplit/>
        </w:trPr>
        <w:tc>
          <w:tcPr>
            <w:tcW w:w="900" w:type="pct"/>
            <w:shd w:val="clear" w:color="auto" w:fill="EBF5FF"/>
          </w:tcPr>
          <w:p>
            <w:pPr>
              <w:spacing w:before="20" w:after="20"/>
              <w:jc w:val="left"/>
            </w:pPr>
            <w:r>
              <w:rPr>
                <w:b/>
                <w:sz w:val="17"/>
                <w:szCs w:val="17"/>
                <w:lang w:val="en-IN"/>
              </w:rPr>
              <w:t xml:space="preserve">F-05</w:t>
            </w:r>
          </w:p>
        </w:tc>
        <w:tc>
          <w:tcPr>
            <w:tcW w:w="4100" w:type="pct"/>
            <w:shd w:val="clear" w:color="auto" w:fill="EBF5FF"/>
          </w:tcPr>
          <w:p>
            <w:pPr>
              <w:spacing w:before="20" w:after="20"/>
              <w:jc w:val="left"/>
            </w:pPr>
            <w:r>
              <w:rPr>
                <w:b/>
                <w:sz w:val="17"/>
                <w:szCs w:val="17"/>
                <w:lang w:val="en-IN"/>
              </w:rPr>
              <w:t xml:space="preserve">Email confirmation is off</w:t>
            </w:r>
          </w:p>
        </w:tc>
      </w:tr>
      <w:tr>
        <w:trPr>
          <w:cantSplit/>
        </w:trPr>
        <w:tc>
          <w:tcPr>
            <w:tcW w:w="900" w:type="pct"/>
          </w:tcPr>
          <w:p>
            <w:pPr>
              <w:spacing w:before="20" w:after="20"/>
              <w:jc w:val="left"/>
            </w:pPr>
            <w:r>
              <w:rPr>
                <w:sz w:val="17"/>
                <w:szCs w:val="17"/>
                <w:lang w:val="en-IN"/>
              </w:rPr>
              <w:t xml:space="preserve">Severity</w:t>
            </w:r>
          </w:p>
        </w:tc>
        <w:tc>
          <w:tcPr>
            <w:tcW w:w="4100" w:type="pct"/>
          </w:tcPr>
          <w:p>
            <w:pPr>
              <w:spacing w:before="20" w:after="20"/>
              <w:jc w:val="left"/>
            </w:pPr>
            <w:r>
              <w:rPr>
                <w:sz w:val="17"/>
                <w:szCs w:val="17"/>
                <w:lang w:val="en-IN"/>
              </w:rPr>
              <w:t xml:space="preserve">Medium</w:t>
            </w:r>
          </w:p>
        </w:tc>
      </w:tr>
      <w:tr>
        <w:trPr>
          <w:cantSplit/>
        </w:trPr>
        <w:tc>
          <w:tcPr>
            <w:tcW w:w="900" w:type="pct"/>
          </w:tcPr>
          <w:p>
            <w:pPr>
              <w:spacing w:before="20" w:after="20"/>
              <w:jc w:val="left"/>
            </w:pPr>
            <w:r>
              <w:rPr>
                <w:sz w:val="17"/>
                <w:szCs w:val="17"/>
                <w:lang w:val="en-IN"/>
              </w:rPr>
              <w:t xml:space="preserve">Status</w:t>
            </w:r>
          </w:p>
        </w:tc>
        <w:tc>
          <w:tcPr>
            <w:tcW w:w="4100" w:type="pct"/>
          </w:tcPr>
          <w:p>
            <w:pPr>
              <w:spacing w:before="20" w:after="20"/>
              <w:jc w:val="left"/>
            </w:pPr>
            <w:r>
              <w:rPr>
                <w:sz w:val="17"/>
                <w:szCs w:val="17"/>
                <w:lang w:val="en-IN"/>
              </w:rPr>
              <w:t xml:space="preserve">Open — owner decision</w:t>
            </w:r>
          </w:p>
        </w:tc>
      </w:tr>
      <w:tr>
        <w:trPr>
          <w:cantSplit/>
        </w:trPr>
        <w:tc>
          <w:tcPr>
            <w:tcW w:w="900" w:type="pct"/>
          </w:tcPr>
          <w:p>
            <w:pPr>
              <w:spacing w:before="20" w:after="20"/>
              <w:jc w:val="left"/>
            </w:pPr>
            <w:r>
              <w:rPr>
                <w:sz w:val="17"/>
                <w:szCs w:val="17"/>
                <w:lang w:val="en-IN"/>
              </w:rPr>
              <w:t xml:space="preserve">Found by</w:t>
            </w:r>
          </w:p>
        </w:tc>
        <w:tc>
          <w:tcPr>
            <w:tcW w:w="4100" w:type="pct"/>
          </w:tcPr>
          <w:p>
            <w:pPr>
              <w:spacing w:before="20" w:after="20"/>
              <w:jc w:val="left"/>
            </w:pPr>
            <w:r>
              <w:rPr>
                <w:sz w:val="17"/>
                <w:szCs w:val="17"/>
                <w:lang w:val="en-IN"/>
              </w:rPr>
              <w:t xml:space="preserve">Live read-only check</w:t>
            </w:r>
          </w:p>
        </w:tc>
      </w:tr>
      <w:tr>
        <w:trPr>
          <w:cantSplit/>
        </w:trPr>
        <w:tc>
          <w:tcPr>
            <w:tcW w:w="900" w:type="pct"/>
          </w:tcPr>
          <w:p>
            <w:pPr>
              <w:spacing w:before="20" w:after="20"/>
              <w:jc w:val="left"/>
            </w:pPr>
            <w:r>
              <w:rPr>
                <w:sz w:val="17"/>
                <w:szCs w:val="17"/>
                <w:lang w:val="en-IN"/>
              </w:rPr>
              <w:t xml:space="preserve">What was found</w:t>
            </w:r>
          </w:p>
        </w:tc>
        <w:tc>
          <w:tcPr>
            <w:tcW w:w="4100" w:type="pct"/>
          </w:tcPr>
          <w:p>
            <w:pPr>
              <w:spacing w:before="20" w:after="20"/>
              <w:jc w:val="left"/>
            </w:pPr>
            <w:r>
              <w:rPr>
                <w:sz w:val="17"/>
                <w:szCs w:val="17"/>
                <w:lang w:val="en-IN"/>
              </w:rPr>
              <w:t xml:space="preserve">With confirmation off, an address on the User Master that has not signed in yet (77 counted) can be claimed by whoever signs up with it first, and that login then gets that person's role.</w:t>
            </w:r>
          </w:p>
        </w:tc>
      </w:tr>
      <w:tr>
        <w:trPr>
          <w:cantSplit/>
        </w:trPr>
        <w:tc>
          <w:tcPr>
            <w:tcW w:w="900" w:type="pct"/>
          </w:tcPr>
          <w:p>
            <w:pPr>
              <w:spacing w:before="20" w:after="20"/>
              <w:jc w:val="left"/>
            </w:pPr>
            <w:r>
              <w:rPr>
                <w:sz w:val="17"/>
                <w:szCs w:val="17"/>
                <w:lang w:val="en-IN"/>
              </w:rPr>
              <w:t xml:space="preserve">Fix / action</w:t>
            </w:r>
          </w:p>
        </w:tc>
        <w:tc>
          <w:tcPr>
            <w:tcW w:w="4100" w:type="pct"/>
          </w:tcPr>
          <w:p>
            <w:pPr>
              <w:spacing w:before="20" w:after="20"/>
              <w:jc w:val="left"/>
            </w:pPr>
            <w:r>
              <w:rPr>
                <w:sz w:val="17"/>
                <w:szCs w:val="17"/>
                <w:lang w:val="en-IN"/>
              </w:rPr>
              <w:t xml:space="preserve">Turn on "Confirm email" in the Supabase project (Authentication). A new login then confirms its address before it can sign in.</w:t>
            </w:r>
          </w:p>
        </w:tc>
      </w:tr>
      <w:tr>
        <w:trPr>
          <w:cantSplit/>
        </w:trPr>
        <w:tc>
          <w:tcPr>
            <w:tcW w:w="900" w:type="pct"/>
          </w:tcPr>
          <w:p>
            <w:pPr>
              <w:spacing w:before="20" w:after="20"/>
              <w:jc w:val="left"/>
            </w:pPr>
            <w:r>
              <w:rPr>
                <w:sz w:val="17"/>
                <w:szCs w:val="17"/>
                <w:lang w:val="en-IN"/>
              </w:rPr>
              <w:t xml:space="preserve">References</w:t>
            </w:r>
          </w:p>
        </w:tc>
        <w:tc>
          <w:tcPr>
            <w:tcW w:w="4100" w:type="pct"/>
          </w:tcPr>
          <w:p>
            <w:pPr>
              <w:spacing w:before="20" w:after="20"/>
              <w:jc w:val="left"/>
            </w:pPr>
            <w:r>
              <w:rPr>
                <w:sz w:val="17"/>
                <w:szCs w:val="17"/>
                <w:lang w:val="en-IN"/>
              </w:rPr>
              <w:t xml:space="preserve">D-175</w:t>
            </w:r>
          </w:p>
        </w:tc>
      </w:tr>
    </w:tbl>
    <w:p>
      <w:pPr>
        <w:spacing w:before="60" w:after="60"/>
      </w:pPr>
      <w:r>
        <w:rPr>
          <w:lang w:val="en-IN"/>
        </w:rPr>
        <w:t xml:space="preserve"/>
      </w:r>
    </w:p>
    <w:tbl>
      <w:tblPr>
        <w:tblStyle w:val="TableGrid"/>
        <w:tblW w:w="5000" w:type="pct"/>
        <w:tblLook w:val="04A0" w:firstRow="1" w:lastRow="0" w:firstColumn="1" w:lastColumn="0" w:noHBand="0" w:noVBand="1"/>
      </w:tblPr>
      <w:tblGrid>
        <w:gridCol w:w="1633"/>
        <w:gridCol w:w="7437"/>
      </w:tblGrid>
      <w:tr>
        <w:trPr>
          <w:tblHeader/>
          <w:cantSplit/>
        </w:trPr>
        <w:tc>
          <w:tcPr>
            <w:tcW w:w="900" w:type="pct"/>
            <w:shd w:val="clear" w:color="auto" w:fill="EBF5FF"/>
          </w:tcPr>
          <w:p>
            <w:pPr>
              <w:spacing w:before="20" w:after="20"/>
              <w:jc w:val="left"/>
            </w:pPr>
            <w:r>
              <w:rPr>
                <w:b/>
                <w:sz w:val="17"/>
                <w:szCs w:val="17"/>
                <w:lang w:val="en-IN"/>
              </w:rPr>
              <w:t xml:space="preserve">F-06</w:t>
            </w:r>
          </w:p>
        </w:tc>
        <w:tc>
          <w:tcPr>
            <w:tcW w:w="4100" w:type="pct"/>
            <w:shd w:val="clear" w:color="auto" w:fill="EBF5FF"/>
          </w:tcPr>
          <w:p>
            <w:pPr>
              <w:spacing w:before="20" w:after="20"/>
              <w:jc w:val="left"/>
            </w:pPr>
            <w:r>
              <w:rPr>
                <w:b/>
                <w:sz w:val="17"/>
                <w:szCs w:val="17"/>
                <w:lang w:val="en-IN"/>
              </w:rPr>
              <w:t xml:space="preserve">The repository and its workflow logs are public</w:t>
            </w:r>
          </w:p>
        </w:tc>
      </w:tr>
      <w:tr>
        <w:trPr>
          <w:cantSplit/>
        </w:trPr>
        <w:tc>
          <w:tcPr>
            <w:tcW w:w="900" w:type="pct"/>
          </w:tcPr>
          <w:p>
            <w:pPr>
              <w:spacing w:before="20" w:after="20"/>
              <w:jc w:val="left"/>
            </w:pPr>
            <w:r>
              <w:rPr>
                <w:sz w:val="17"/>
                <w:szCs w:val="17"/>
                <w:lang w:val="en-IN"/>
              </w:rPr>
              <w:t xml:space="preserve">Severity</w:t>
            </w:r>
          </w:p>
        </w:tc>
        <w:tc>
          <w:tcPr>
            <w:tcW w:w="4100" w:type="pct"/>
          </w:tcPr>
          <w:p>
            <w:pPr>
              <w:spacing w:before="20" w:after="20"/>
              <w:jc w:val="left"/>
            </w:pPr>
            <w:r>
              <w:rPr>
                <w:sz w:val="17"/>
                <w:szCs w:val="17"/>
                <w:lang w:val="en-IN"/>
              </w:rPr>
              <w:t xml:space="preserve">Medium</w:t>
            </w:r>
          </w:p>
        </w:tc>
      </w:tr>
      <w:tr>
        <w:trPr>
          <w:cantSplit/>
        </w:trPr>
        <w:tc>
          <w:tcPr>
            <w:tcW w:w="900" w:type="pct"/>
          </w:tcPr>
          <w:p>
            <w:pPr>
              <w:spacing w:before="20" w:after="20"/>
              <w:jc w:val="left"/>
            </w:pPr>
            <w:r>
              <w:rPr>
                <w:sz w:val="17"/>
                <w:szCs w:val="17"/>
                <w:lang w:val="en-IN"/>
              </w:rPr>
              <w:t xml:space="preserve">Status</w:t>
            </w:r>
          </w:p>
        </w:tc>
        <w:tc>
          <w:tcPr>
            <w:tcW w:w="4100" w:type="pct"/>
          </w:tcPr>
          <w:p>
            <w:pPr>
              <w:spacing w:before="20" w:after="20"/>
              <w:jc w:val="left"/>
            </w:pPr>
            <w:r>
              <w:rPr>
                <w:sz w:val="17"/>
                <w:szCs w:val="17"/>
                <w:lang w:val="en-IN"/>
              </w:rPr>
              <w:t xml:space="preserve">Open — owner decision</w:t>
            </w:r>
          </w:p>
        </w:tc>
      </w:tr>
      <w:tr>
        <w:trPr>
          <w:cantSplit/>
        </w:trPr>
        <w:tc>
          <w:tcPr>
            <w:tcW w:w="900" w:type="pct"/>
          </w:tcPr>
          <w:p>
            <w:pPr>
              <w:spacing w:before="20" w:after="20"/>
              <w:jc w:val="left"/>
            </w:pPr>
            <w:r>
              <w:rPr>
                <w:sz w:val="17"/>
                <w:szCs w:val="17"/>
                <w:lang w:val="en-IN"/>
              </w:rPr>
              <w:t xml:space="preserve">Found by</w:t>
            </w:r>
          </w:p>
        </w:tc>
        <w:tc>
          <w:tcPr>
            <w:tcW w:w="4100" w:type="pct"/>
          </w:tcPr>
          <w:p>
            <w:pPr>
              <w:spacing w:before="20" w:after="20"/>
              <w:jc w:val="left"/>
            </w:pPr>
            <w:r>
              <w:rPr>
                <w:sz w:val="17"/>
                <w:szCs w:val="17"/>
                <w:lang w:val="en-IN"/>
              </w:rPr>
              <w:t xml:space="preserve">Repository settings</w:t>
            </w:r>
          </w:p>
        </w:tc>
      </w:tr>
      <w:tr>
        <w:trPr>
          <w:cantSplit/>
        </w:trPr>
        <w:tc>
          <w:tcPr>
            <w:tcW w:w="900" w:type="pct"/>
          </w:tcPr>
          <w:p>
            <w:pPr>
              <w:spacing w:before="20" w:after="20"/>
              <w:jc w:val="left"/>
            </w:pPr>
            <w:r>
              <w:rPr>
                <w:sz w:val="17"/>
                <w:szCs w:val="17"/>
                <w:lang w:val="en-IN"/>
              </w:rPr>
              <w:t xml:space="preserve">What was found</w:t>
            </w:r>
          </w:p>
        </w:tc>
        <w:tc>
          <w:tcPr>
            <w:tcW w:w="4100" w:type="pct"/>
          </w:tcPr>
          <w:p>
            <w:pPr>
              <w:spacing w:before="20" w:after="20"/>
              <w:jc w:val="left"/>
            </w:pPr>
            <w:r>
              <w:rPr>
                <w:sz w:val="17"/>
                <w:szCs w:val="17"/>
                <w:lang w:val="en-IN"/>
              </w:rPr>
              <w:t xml:space="preserve">The repository is public, so the schema, the policies and the logs of its workflows can be read by anybody. Two diagnostic runs on 27-Oct-2026 printed customer names into a workflow log. Diagnostics run through the workflow now print counts only.</w:t>
            </w:r>
          </w:p>
        </w:tc>
      </w:tr>
      <w:tr>
        <w:trPr>
          <w:cantSplit/>
        </w:trPr>
        <w:tc>
          <w:tcPr>
            <w:tcW w:w="900" w:type="pct"/>
          </w:tcPr>
          <w:p>
            <w:pPr>
              <w:spacing w:before="20" w:after="20"/>
              <w:jc w:val="left"/>
            </w:pPr>
            <w:r>
              <w:rPr>
                <w:sz w:val="17"/>
                <w:szCs w:val="17"/>
                <w:lang w:val="en-IN"/>
              </w:rPr>
              <w:t xml:space="preserve">Fix / action</w:t>
            </w:r>
          </w:p>
        </w:tc>
        <w:tc>
          <w:tcPr>
            <w:tcW w:w="4100" w:type="pct"/>
          </w:tcPr>
          <w:p>
            <w:pPr>
              <w:spacing w:before="20" w:after="20"/>
              <w:jc w:val="left"/>
            </w:pPr>
            <w:r>
              <w:rPr>
                <w:sz w:val="17"/>
                <w:szCs w:val="17"/>
                <w:lang w:val="en-IN"/>
              </w:rPr>
              <w:t xml:space="preserve">Make the repository private (GitHub → Settings → Danger Zone → Change visibility). Before doing so: on GitHub's free plan, Pages publishes only from a public repository, so a private repository needs a paid plan (or another host) to keep the live site up.</w:t>
            </w:r>
          </w:p>
        </w:tc>
      </w:tr>
      <w:tr>
        <w:trPr>
          <w:cantSplit/>
        </w:trPr>
        <w:tc>
          <w:tcPr>
            <w:tcW w:w="900" w:type="pct"/>
          </w:tcPr>
          <w:p>
            <w:pPr>
              <w:spacing w:before="20" w:after="20"/>
              <w:jc w:val="left"/>
            </w:pPr>
            <w:r>
              <w:rPr>
                <w:sz w:val="17"/>
                <w:szCs w:val="17"/>
                <w:lang w:val="en-IN"/>
              </w:rPr>
              <w:t xml:space="preserve">References</w:t>
            </w:r>
          </w:p>
        </w:tc>
        <w:tc>
          <w:tcPr>
            <w:tcW w:w="4100" w:type="pct"/>
          </w:tcPr>
          <w:p>
            <w:pPr>
              <w:spacing w:before="20" w:after="20"/>
              <w:jc w:val="left"/>
            </w:pPr>
            <w:r>
              <w:rPr>
                <w:sz w:val="17"/>
                <w:szCs w:val="17"/>
                <w:lang w:val="en-IN"/>
              </w:rPr>
              <w:t xml:space="preserve">CLAUDE.md</w:t>
            </w:r>
          </w:p>
        </w:tc>
      </w:tr>
    </w:tbl>
    <w:p>
      <w:pPr>
        <w:spacing w:before="60" w:after="60"/>
      </w:pPr>
      <w:r>
        <w:rPr>
          <w:lang w:val="en-IN"/>
        </w:rPr>
        <w:t xml:space="preserve"/>
      </w:r>
    </w:p>
    <w:tbl>
      <w:tblPr>
        <w:tblStyle w:val="TableGrid"/>
        <w:tblW w:w="5000" w:type="pct"/>
        <w:tblLook w:val="04A0" w:firstRow="1" w:lastRow="0" w:firstColumn="1" w:lastColumn="0" w:noHBand="0" w:noVBand="1"/>
      </w:tblPr>
      <w:tblGrid>
        <w:gridCol w:w="1633"/>
        <w:gridCol w:w="7437"/>
      </w:tblGrid>
      <w:tr>
        <w:trPr>
          <w:tblHeader/>
          <w:cantSplit/>
        </w:trPr>
        <w:tc>
          <w:tcPr>
            <w:tcW w:w="900" w:type="pct"/>
            <w:shd w:val="clear" w:color="auto" w:fill="EBF5FF"/>
          </w:tcPr>
          <w:p>
            <w:pPr>
              <w:spacing w:before="20" w:after="20"/>
              <w:jc w:val="left"/>
            </w:pPr>
            <w:r>
              <w:rPr>
                <w:b/>
                <w:sz w:val="17"/>
                <w:szCs w:val="17"/>
                <w:lang w:val="en-IN"/>
              </w:rPr>
              <w:t xml:space="preserve">F-07</w:t>
            </w:r>
          </w:p>
        </w:tc>
        <w:tc>
          <w:tcPr>
            <w:tcW w:w="4100" w:type="pct"/>
            <w:shd w:val="clear" w:color="auto" w:fill="EBF5FF"/>
          </w:tcPr>
          <w:p>
            <w:pPr>
              <w:spacing w:before="20" w:after="20"/>
              <w:jc w:val="left"/>
            </w:pPr>
            <w:r>
              <w:rPr>
                <w:b/>
                <w:sz w:val="17"/>
                <w:szCs w:val="17"/>
                <w:lang w:val="en-IN"/>
              </w:rPr>
              <w:t xml:space="preserve">Front-end library advisories</w:t>
            </w:r>
          </w:p>
        </w:tc>
      </w:tr>
      <w:tr>
        <w:trPr>
          <w:cantSplit/>
        </w:trPr>
        <w:tc>
          <w:tcPr>
            <w:tcW w:w="900" w:type="pct"/>
          </w:tcPr>
          <w:p>
            <w:pPr>
              <w:spacing w:before="20" w:after="20"/>
              <w:jc w:val="left"/>
            </w:pPr>
            <w:r>
              <w:rPr>
                <w:sz w:val="17"/>
                <w:szCs w:val="17"/>
                <w:lang w:val="en-IN"/>
              </w:rPr>
              <w:t xml:space="preserve">Severity</w:t>
            </w:r>
          </w:p>
        </w:tc>
        <w:tc>
          <w:tcPr>
            <w:tcW w:w="4100" w:type="pct"/>
          </w:tcPr>
          <w:p>
            <w:pPr>
              <w:spacing w:before="20" w:after="20"/>
              <w:jc w:val="left"/>
            </w:pPr>
            <w:r>
              <w:rPr>
                <w:sz w:val="17"/>
                <w:szCs w:val="17"/>
                <w:lang w:val="en-IN"/>
              </w:rPr>
              <w:t xml:space="preserve">Low</w:t>
            </w:r>
          </w:p>
        </w:tc>
      </w:tr>
      <w:tr>
        <w:trPr>
          <w:cantSplit/>
        </w:trPr>
        <w:tc>
          <w:tcPr>
            <w:tcW w:w="900" w:type="pct"/>
          </w:tcPr>
          <w:p>
            <w:pPr>
              <w:spacing w:before="20" w:after="20"/>
              <w:jc w:val="left"/>
            </w:pPr>
            <w:r>
              <w:rPr>
                <w:sz w:val="17"/>
                <w:szCs w:val="17"/>
                <w:lang w:val="en-IN"/>
              </w:rPr>
              <w:t xml:space="preserve">Status</w:t>
            </w:r>
          </w:p>
        </w:tc>
        <w:tc>
          <w:tcPr>
            <w:tcW w:w="4100" w:type="pct"/>
          </w:tcPr>
          <w:p>
            <w:pPr>
              <w:spacing w:before="20" w:after="20"/>
              <w:jc w:val="left"/>
            </w:pPr>
            <w:r>
              <w:rPr>
                <w:sz w:val="17"/>
                <w:szCs w:val="17"/>
                <w:lang w:val="en-IN"/>
              </w:rPr>
              <w:t xml:space="preserve">Accepted</w:t>
            </w:r>
          </w:p>
        </w:tc>
      </w:tr>
      <w:tr>
        <w:trPr>
          <w:cantSplit/>
        </w:trPr>
        <w:tc>
          <w:tcPr>
            <w:tcW w:w="900" w:type="pct"/>
          </w:tcPr>
          <w:p>
            <w:pPr>
              <w:spacing w:before="20" w:after="20"/>
              <w:jc w:val="left"/>
            </w:pPr>
            <w:r>
              <w:rPr>
                <w:sz w:val="17"/>
                <w:szCs w:val="17"/>
                <w:lang w:val="en-IN"/>
              </w:rPr>
              <w:t xml:space="preserve">Found by</w:t>
            </w:r>
          </w:p>
        </w:tc>
        <w:tc>
          <w:tcPr>
            <w:tcW w:w="4100" w:type="pct"/>
          </w:tcPr>
          <w:p>
            <w:pPr>
              <w:spacing w:before="20" w:after="20"/>
              <w:jc w:val="left"/>
            </w:pPr>
            <w:r>
              <w:rPr>
                <w:sz w:val="17"/>
                <w:szCs w:val="17"/>
                <w:lang w:val="en-IN"/>
              </w:rPr>
              <w:t xml:space="preserve">npm audit</w:t>
            </w:r>
          </w:p>
        </w:tc>
      </w:tr>
      <w:tr>
        <w:trPr>
          <w:cantSplit/>
        </w:trPr>
        <w:tc>
          <w:tcPr>
            <w:tcW w:w="900" w:type="pct"/>
          </w:tcPr>
          <w:p>
            <w:pPr>
              <w:spacing w:before="20" w:after="20"/>
              <w:jc w:val="left"/>
            </w:pPr>
            <w:r>
              <w:rPr>
                <w:sz w:val="17"/>
                <w:szCs w:val="17"/>
                <w:lang w:val="en-IN"/>
              </w:rPr>
              <w:t xml:space="preserve">What was found</w:t>
            </w:r>
          </w:p>
        </w:tc>
        <w:tc>
          <w:tcPr>
            <w:tcW w:w="4100" w:type="pct"/>
          </w:tcPr>
          <w:p>
            <w:pPr>
              <w:spacing w:before="20" w:after="20"/>
              <w:jc w:val="left"/>
            </w:pPr>
            <w:r>
              <w:rPr>
                <w:sz w:val="17"/>
                <w:szCs w:val="17"/>
                <w:lang w:val="en-IN"/>
              </w:rPr>
              <w:t xml:space="preserve">Nine advisories; five fixed without breaking changes. Left: react-router's open-redirect advisories, fixed only in version 7 (RITHI navigates only to its own routes, so no attacker-controlled redirect was found), and vite / esbuild, which affect the local development server only and are not in the published site.</w:t>
            </w:r>
          </w:p>
        </w:tc>
      </w:tr>
      <w:tr>
        <w:trPr>
          <w:cantSplit/>
        </w:trPr>
        <w:tc>
          <w:tcPr>
            <w:tcW w:w="900" w:type="pct"/>
          </w:tcPr>
          <w:p>
            <w:pPr>
              <w:spacing w:before="20" w:after="20"/>
              <w:jc w:val="left"/>
            </w:pPr>
            <w:r>
              <w:rPr>
                <w:sz w:val="17"/>
                <w:szCs w:val="17"/>
                <w:lang w:val="en-IN"/>
              </w:rPr>
              <w:t xml:space="preserve">Fix / action</w:t>
            </w:r>
          </w:p>
        </w:tc>
        <w:tc>
          <w:tcPr>
            <w:tcW w:w="4100" w:type="pct"/>
          </w:tcPr>
          <w:p>
            <w:pPr>
              <w:spacing w:before="20" w:after="20"/>
              <w:jc w:val="left"/>
            </w:pPr>
            <w:r>
              <w:rPr>
                <w:sz w:val="17"/>
                <w:szCs w:val="17"/>
                <w:lang w:val="en-IN"/>
              </w:rPr>
              <w:t xml:space="preserve">Upgrade react-router to version 7 and vite to its next major version as planned work.</w:t>
            </w:r>
          </w:p>
        </w:tc>
      </w:tr>
    </w:tbl>
    <w:p>
      <w:pPr>
        <w:spacing w:before="60" w:after="60"/>
      </w:pPr>
      <w:r>
        <w:rPr>
          <w:lang w:val="en-IN"/>
        </w:rPr>
        <w:t xml:space="preserve"/>
      </w:r>
    </w:p>
    <w:tbl>
      <w:tblPr>
        <w:tblStyle w:val="TableGrid"/>
        <w:tblW w:w="5000" w:type="pct"/>
        <w:tblLook w:val="04A0" w:firstRow="1" w:lastRow="0" w:firstColumn="1" w:lastColumn="0" w:noHBand="0" w:noVBand="1"/>
      </w:tblPr>
      <w:tblGrid>
        <w:gridCol w:w="1633"/>
        <w:gridCol w:w="7437"/>
      </w:tblGrid>
      <w:tr>
        <w:trPr>
          <w:tblHeader/>
          <w:cantSplit/>
        </w:trPr>
        <w:tc>
          <w:tcPr>
            <w:tcW w:w="900" w:type="pct"/>
            <w:shd w:val="clear" w:color="auto" w:fill="EBF5FF"/>
          </w:tcPr>
          <w:p>
            <w:pPr>
              <w:spacing w:before="20" w:after="20"/>
              <w:jc w:val="left"/>
            </w:pPr>
            <w:r>
              <w:rPr>
                <w:b/>
                <w:sz w:val="17"/>
                <w:szCs w:val="17"/>
                <w:lang w:val="en-IN"/>
              </w:rPr>
              <w:t xml:space="preserve">F-08</w:t>
            </w:r>
          </w:p>
        </w:tc>
        <w:tc>
          <w:tcPr>
            <w:tcW w:w="4100" w:type="pct"/>
            <w:shd w:val="clear" w:color="auto" w:fill="EBF5FF"/>
          </w:tcPr>
          <w:p>
            <w:pPr>
              <w:spacing w:before="20" w:after="20"/>
              <w:jc w:val="left"/>
            </w:pPr>
            <w:r>
              <w:rPr>
                <w:b/>
                <w:sz w:val="17"/>
                <w:szCs w:val="17"/>
                <w:lang w:val="en-IN"/>
              </w:rPr>
              <w:t xml:space="preserve">No Content-Security-Policy on the site</w:t>
            </w:r>
          </w:p>
        </w:tc>
      </w:tr>
      <w:tr>
        <w:trPr>
          <w:cantSplit/>
        </w:trPr>
        <w:tc>
          <w:tcPr>
            <w:tcW w:w="900" w:type="pct"/>
          </w:tcPr>
          <w:p>
            <w:pPr>
              <w:spacing w:before="20" w:after="20"/>
              <w:jc w:val="left"/>
            </w:pPr>
            <w:r>
              <w:rPr>
                <w:sz w:val="17"/>
                <w:szCs w:val="17"/>
                <w:lang w:val="en-IN"/>
              </w:rPr>
              <w:t xml:space="preserve">Severity</w:t>
            </w:r>
          </w:p>
        </w:tc>
        <w:tc>
          <w:tcPr>
            <w:tcW w:w="4100" w:type="pct"/>
          </w:tcPr>
          <w:p>
            <w:pPr>
              <w:spacing w:before="20" w:after="20"/>
              <w:jc w:val="left"/>
            </w:pPr>
            <w:r>
              <w:rPr>
                <w:sz w:val="17"/>
                <w:szCs w:val="17"/>
                <w:lang w:val="en-IN"/>
              </w:rPr>
              <w:t xml:space="preserve">Low</w:t>
            </w:r>
          </w:p>
        </w:tc>
      </w:tr>
      <w:tr>
        <w:trPr>
          <w:cantSplit/>
        </w:trPr>
        <w:tc>
          <w:tcPr>
            <w:tcW w:w="900" w:type="pct"/>
          </w:tcPr>
          <w:p>
            <w:pPr>
              <w:spacing w:before="20" w:after="20"/>
              <w:jc w:val="left"/>
            </w:pPr>
            <w:r>
              <w:rPr>
                <w:sz w:val="17"/>
                <w:szCs w:val="17"/>
                <w:lang w:val="en-IN"/>
              </w:rPr>
              <w:t xml:space="preserve">Status</w:t>
            </w:r>
          </w:p>
        </w:tc>
        <w:tc>
          <w:tcPr>
            <w:tcW w:w="4100" w:type="pct"/>
          </w:tcPr>
          <w:p>
            <w:pPr>
              <w:spacing w:before="20" w:after="20"/>
              <w:jc w:val="left"/>
            </w:pPr>
            <w:r>
              <w:rPr>
                <w:sz w:val="17"/>
                <w:szCs w:val="17"/>
                <w:lang w:val="en-IN"/>
              </w:rPr>
              <w:t xml:space="preserve">Open — owner decision</w:t>
            </w:r>
          </w:p>
        </w:tc>
      </w:tr>
      <w:tr>
        <w:trPr>
          <w:cantSplit/>
        </w:trPr>
        <w:tc>
          <w:tcPr>
            <w:tcW w:w="900" w:type="pct"/>
          </w:tcPr>
          <w:p>
            <w:pPr>
              <w:spacing w:before="20" w:after="20"/>
              <w:jc w:val="left"/>
            </w:pPr>
            <w:r>
              <w:rPr>
                <w:sz w:val="17"/>
                <w:szCs w:val="17"/>
                <w:lang w:val="en-IN"/>
              </w:rPr>
              <w:t xml:space="preserve">Found by</w:t>
            </w:r>
          </w:p>
        </w:tc>
        <w:tc>
          <w:tcPr>
            <w:tcW w:w="4100" w:type="pct"/>
          </w:tcPr>
          <w:p>
            <w:pPr>
              <w:spacing w:before="20" w:after="20"/>
              <w:jc w:val="left"/>
            </w:pPr>
            <w:r>
              <w:rPr>
                <w:sz w:val="17"/>
                <w:szCs w:val="17"/>
                <w:lang w:val="en-IN"/>
              </w:rPr>
              <w:t xml:space="preserve">Live read-only check</w:t>
            </w:r>
          </w:p>
        </w:tc>
      </w:tr>
      <w:tr>
        <w:trPr>
          <w:cantSplit/>
        </w:trPr>
        <w:tc>
          <w:tcPr>
            <w:tcW w:w="900" w:type="pct"/>
          </w:tcPr>
          <w:p>
            <w:pPr>
              <w:spacing w:before="20" w:after="20"/>
              <w:jc w:val="left"/>
            </w:pPr>
            <w:r>
              <w:rPr>
                <w:sz w:val="17"/>
                <w:szCs w:val="17"/>
                <w:lang w:val="en-IN"/>
              </w:rPr>
              <w:t xml:space="preserve">What was found</w:t>
            </w:r>
          </w:p>
        </w:tc>
        <w:tc>
          <w:tcPr>
            <w:tcW w:w="4100" w:type="pct"/>
          </w:tcPr>
          <w:p>
            <w:pPr>
              <w:spacing w:before="20" w:after="20"/>
              <w:jc w:val="left"/>
            </w:pPr>
            <w:r>
              <w:rPr>
                <w:sz w:val="17"/>
                <w:szCs w:val="17"/>
                <w:lang w:val="en-IN"/>
              </w:rPr>
              <w:t xml:space="preserve">GitHub Pages sends HSTS and redirects plain http to https, but no Content-Security-Policy, X-Frame-Options or X-Content-Type-Options. A Content-Security-Policy limits the damage of any script-injection fault.</w:t>
            </w:r>
          </w:p>
        </w:tc>
      </w:tr>
      <w:tr>
        <w:trPr>
          <w:cantSplit/>
        </w:trPr>
        <w:tc>
          <w:tcPr>
            <w:tcW w:w="900" w:type="pct"/>
          </w:tcPr>
          <w:p>
            <w:pPr>
              <w:spacing w:before="20" w:after="20"/>
              <w:jc w:val="left"/>
            </w:pPr>
            <w:r>
              <w:rPr>
                <w:sz w:val="17"/>
                <w:szCs w:val="17"/>
                <w:lang w:val="en-IN"/>
              </w:rPr>
              <w:t xml:space="preserve">Fix / action</w:t>
            </w:r>
          </w:p>
        </w:tc>
        <w:tc>
          <w:tcPr>
            <w:tcW w:w="4100" w:type="pct"/>
          </w:tcPr>
          <w:p>
            <w:pPr>
              <w:spacing w:before="20" w:after="20"/>
              <w:jc w:val="left"/>
            </w:pPr>
            <w:r>
              <w:rPr>
                <w:sz w:val="17"/>
                <w:szCs w:val="17"/>
                <w:lang w:val="en-IN"/>
              </w:rPr>
              <w:t xml:space="preserve">Add a Content-Security-Policy meta tag to the page (GitHub Pages cannot set headers), after confirming every domain the app loads from.</w:t>
            </w:r>
          </w:p>
        </w:tc>
      </w:tr>
    </w:tbl>
    <w:p>
      <w:pPr>
        <w:spacing w:before="60" w:after="60"/>
      </w:pPr>
      <w:r>
        <w:rPr>
          <w:lang w:val="en-IN"/>
        </w:rPr>
        <w:t xml:space="preserve"/>
      </w:r>
    </w:p>
    <w:tbl>
      <w:tblPr>
        <w:tblStyle w:val="TableGrid"/>
        <w:tblW w:w="5000" w:type="pct"/>
        <w:tblLook w:val="04A0" w:firstRow="1" w:lastRow="0" w:firstColumn="1" w:lastColumn="0" w:noHBand="0" w:noVBand="1"/>
      </w:tblPr>
      <w:tblGrid>
        <w:gridCol w:w="1633"/>
        <w:gridCol w:w="7437"/>
      </w:tblGrid>
      <w:tr>
        <w:trPr>
          <w:tblHeader/>
          <w:cantSplit/>
        </w:trPr>
        <w:tc>
          <w:tcPr>
            <w:tcW w:w="900" w:type="pct"/>
            <w:shd w:val="clear" w:color="auto" w:fill="EBF5FF"/>
          </w:tcPr>
          <w:p>
            <w:pPr>
              <w:spacing w:before="20" w:after="20"/>
              <w:jc w:val="left"/>
            </w:pPr>
            <w:r>
              <w:rPr>
                <w:b/>
                <w:sz w:val="17"/>
                <w:szCs w:val="17"/>
                <w:lang w:val="en-IN"/>
              </w:rPr>
              <w:t xml:space="preserve">F-09</w:t>
            </w:r>
          </w:p>
        </w:tc>
        <w:tc>
          <w:tcPr>
            <w:tcW w:w="4100" w:type="pct"/>
            <w:shd w:val="clear" w:color="auto" w:fill="EBF5FF"/>
          </w:tcPr>
          <w:p>
            <w:pPr>
              <w:spacing w:before="20" w:after="20"/>
              <w:jc w:val="left"/>
            </w:pPr>
            <w:r>
              <w:rPr>
                <w:b/>
                <w:sz w:val="17"/>
                <w:szCs w:val="17"/>
                <w:lang w:val="en-IN"/>
              </w:rPr>
              <w:t xml:space="preserve">One table answers the public key with a server error</w:t>
            </w:r>
          </w:p>
        </w:tc>
      </w:tr>
      <w:tr>
        <w:trPr>
          <w:cantSplit/>
        </w:trPr>
        <w:tc>
          <w:tcPr>
            <w:tcW w:w="900" w:type="pct"/>
          </w:tcPr>
          <w:p>
            <w:pPr>
              <w:spacing w:before="20" w:after="20"/>
              <w:jc w:val="left"/>
            </w:pPr>
            <w:r>
              <w:rPr>
                <w:sz w:val="17"/>
                <w:szCs w:val="17"/>
                <w:lang w:val="en-IN"/>
              </w:rPr>
              <w:t xml:space="preserve">Severity</w:t>
            </w:r>
          </w:p>
        </w:tc>
        <w:tc>
          <w:tcPr>
            <w:tcW w:w="4100" w:type="pct"/>
          </w:tcPr>
          <w:p>
            <w:pPr>
              <w:spacing w:before="20" w:after="20"/>
              <w:jc w:val="left"/>
            </w:pPr>
            <w:r>
              <w:rPr>
                <w:sz w:val="17"/>
                <w:szCs w:val="17"/>
                <w:lang w:val="en-IN"/>
              </w:rPr>
              <w:t xml:space="preserve">Info</w:t>
            </w:r>
          </w:p>
        </w:tc>
      </w:tr>
      <w:tr>
        <w:trPr>
          <w:cantSplit/>
        </w:trPr>
        <w:tc>
          <w:tcPr>
            <w:tcW w:w="900" w:type="pct"/>
          </w:tcPr>
          <w:p>
            <w:pPr>
              <w:spacing w:before="20" w:after="20"/>
              <w:jc w:val="left"/>
            </w:pPr>
            <w:r>
              <w:rPr>
                <w:sz w:val="17"/>
                <w:szCs w:val="17"/>
                <w:lang w:val="en-IN"/>
              </w:rPr>
              <w:t xml:space="preserve">Status</w:t>
            </w:r>
          </w:p>
        </w:tc>
        <w:tc>
          <w:tcPr>
            <w:tcW w:w="4100" w:type="pct"/>
          </w:tcPr>
          <w:p>
            <w:pPr>
              <w:spacing w:before="20" w:after="20"/>
              <w:jc w:val="left"/>
            </w:pPr>
            <w:r>
              <w:rPr>
                <w:sz w:val="17"/>
                <w:szCs w:val="17"/>
                <w:lang w:val="en-IN"/>
              </w:rPr>
              <w:t xml:space="preserve">Open — owner decision</w:t>
            </w:r>
          </w:p>
        </w:tc>
      </w:tr>
      <w:tr>
        <w:trPr>
          <w:cantSplit/>
        </w:trPr>
        <w:tc>
          <w:tcPr>
            <w:tcW w:w="900" w:type="pct"/>
          </w:tcPr>
          <w:p>
            <w:pPr>
              <w:spacing w:before="20" w:after="20"/>
              <w:jc w:val="left"/>
            </w:pPr>
            <w:r>
              <w:rPr>
                <w:sz w:val="17"/>
                <w:szCs w:val="17"/>
                <w:lang w:val="en-IN"/>
              </w:rPr>
              <w:t xml:space="preserve">Found by</w:t>
            </w:r>
          </w:p>
        </w:tc>
        <w:tc>
          <w:tcPr>
            <w:tcW w:w="4100" w:type="pct"/>
          </w:tcPr>
          <w:p>
            <w:pPr>
              <w:spacing w:before="20" w:after="20"/>
              <w:jc w:val="left"/>
            </w:pPr>
            <w:r>
              <w:rPr>
                <w:sz w:val="17"/>
                <w:szCs w:val="17"/>
                <w:lang w:val="en-IN"/>
              </w:rPr>
              <w:t xml:space="preserve">Live read-only check</w:t>
            </w:r>
          </w:p>
        </w:tc>
      </w:tr>
      <w:tr>
        <w:trPr>
          <w:cantSplit/>
        </w:trPr>
        <w:tc>
          <w:tcPr>
            <w:tcW w:w="900" w:type="pct"/>
          </w:tcPr>
          <w:p>
            <w:pPr>
              <w:spacing w:before="20" w:after="20"/>
              <w:jc w:val="left"/>
            </w:pPr>
            <w:r>
              <w:rPr>
                <w:sz w:val="17"/>
                <w:szCs w:val="17"/>
                <w:lang w:val="en-IN"/>
              </w:rPr>
              <w:t xml:space="preserve">What was found</w:t>
            </w:r>
          </w:p>
        </w:tc>
        <w:tc>
          <w:tcPr>
            <w:tcW w:w="4100" w:type="pct"/>
          </w:tcPr>
          <w:p>
            <w:pPr>
              <w:spacing w:before="20" w:after="20"/>
              <w:jc w:val="left"/>
            </w:pPr>
            <w:r>
              <w:rPr>
                <w:sz w:val="17"/>
                <w:szCs w:val="17"/>
                <w:lang w:val="en-IN"/>
              </w:rPr>
              <w:t xml:space="preserve">record_audit answers HTTP 500 to a not-signed-in request instead of an empty answer. No data is returned.</w:t>
            </w:r>
          </w:p>
        </w:tc>
      </w:tr>
      <w:tr>
        <w:trPr>
          <w:cantSplit/>
        </w:trPr>
        <w:tc>
          <w:tcPr>
            <w:tcW w:w="900" w:type="pct"/>
          </w:tcPr>
          <w:p>
            <w:pPr>
              <w:spacing w:before="20" w:after="20"/>
              <w:jc w:val="left"/>
            </w:pPr>
            <w:r>
              <w:rPr>
                <w:sz w:val="17"/>
                <w:szCs w:val="17"/>
                <w:lang w:val="en-IN"/>
              </w:rPr>
              <w:t xml:space="preserve">Fix / action</w:t>
            </w:r>
          </w:p>
        </w:tc>
        <w:tc>
          <w:tcPr>
            <w:tcW w:w="4100" w:type="pct"/>
          </w:tcPr>
          <w:p>
            <w:pPr>
              <w:spacing w:before="20" w:after="20"/>
              <w:jc w:val="left"/>
            </w:pPr>
            <w:r>
              <w:rPr>
                <w:sz w:val="17"/>
                <w:szCs w:val="17"/>
                <w:lang w:val="en-IN"/>
              </w:rPr>
              <w:t xml:space="preserve">To be looked at in a later release.</w:t>
            </w:r>
          </w:p>
        </w:tc>
      </w:tr>
    </w:tbl>
    <w:p>
      <w:pPr>
        <w:spacing w:before="60" w:after="60"/>
      </w:pPr>
      <w:r>
        <w:rPr>
          <w:lang w:val="en-IN"/>
        </w:rPr>
        <w:t xml:space="preserve"/>
      </w:r>
    </w:p>
    <w:p>
      <w:pPr>
        <w:pStyle w:val="Heading1"/>
      </w:pPr>
      <w:r>
        <w:rPr>
          <w:lang w:val="en-IN"/>
        </w:rPr>
        <w:t xml:space="preserve">Found sound</w:t>
      </w:r>
    </w:p>
    <w:p>
      <w:pPr>
        <w:spacing w:before="20" w:after="20"/>
        <w:ind w:left="720" w:hanging="360"/>
      </w:pPr>
      <w:r>
        <w:rPr>
          <w:lang w:val="en-IN"/>
        </w:rPr>
        <w:t xml:space="preserve">•	No secret key, token or private key in the repository or the published site; only the publishable key, public by design.</w:t>
      </w:r>
    </w:p>
    <w:p>
      <w:pPr>
        <w:spacing w:before="20" w:after="20"/>
        <w:ind w:left="720" w:hanging="360"/>
      </w:pPr>
      <w:r>
        <w:rPr>
          <w:lang w:val="en-IN"/>
        </w:rPr>
        <w:t xml:space="preserve">•	No source map published.</w:t>
      </w:r>
    </w:p>
    <w:p>
      <w:pPr>
        <w:spacing w:before="20" w:after="20"/>
        <w:ind w:left="720" w:hanging="360"/>
      </w:pPr>
      <w:r>
        <w:rPr>
          <w:lang w:val="en-IN"/>
        </w:rPr>
        <w:t xml:space="preserve">•	Dynamic SQL in database functions uses fixed table lists, quoted identifiers and parameters — no injection path.</w:t>
      </w:r>
    </w:p>
    <w:p>
      <w:pPr>
        <w:spacing w:before="20" w:after="20"/>
        <w:ind w:left="720" w:hanging="360"/>
      </w:pPr>
      <w:r>
        <w:rPr>
          <w:lang w:val="en-IN"/>
        </w:rPr>
        <w:t xml:space="preserve">•	A signed-in engineer could not see another engineer's calls, requests, signatures, notifications, hand stock or the audit log, and could not gain any right: role, permission, new role, super admin, setting, Audit Mode, password reset or another person's signature were all refused, and the audit log was untouched.</w:t>
      </w:r>
    </w:p>
    <w:p>
      <w:pPr>
        <w:spacing w:before="20" w:after="20"/>
        <w:ind w:left="720" w:hanging="360"/>
      </w:pPr>
      <w:r>
        <w:rPr>
          <w:lang w:val="en-IN"/>
        </w:rPr>
        <w:t xml:space="preserve">•	Every table has row-level security on (one test-only table aside), and every view over a protected table applies it to the reader.</w:t>
      </w:r>
    </w:p>
    <w:p>
      <w:pPr>
        <w:pStyle w:val="Heading1"/>
      </w:pPr>
      <w:r>
        <w:rPr>
          <w:lang w:val="en-IN"/>
        </w:rPr>
        <w:t xml:space="preserve">Re-running the scan</w:t>
      </w:r>
    </w:p>
    <w:p>
      <w:pPr>
        <w:spacing w:before="20" w:after="20"/>
        <w:ind w:left="720" w:hanging="360"/>
      </w:pPr>
      <w:r>
        <w:rPr>
          <w:lang w:val="en-IN"/>
        </w:rPr>
        <w:t xml:space="preserve">•	The penetration test is supabase/tests/security_pentest_test.sql: it runs with every `npm run validate`, so a change that re-opens a hole fails the validation run.</w:t>
      </w:r>
    </w:p>
    <w:p>
      <w:pPr>
        <w:spacing w:before="20" w:after="20"/>
        <w:ind w:left="720" w:hanging="360"/>
      </w:pPr>
      <w:r>
        <w:rPr>
          <w:lang w:val="en-IN"/>
        </w:rPr>
        <w:t xml:space="preserve">•	The live, read-only checks are scripts/security-live-check.mjs: GitHub → Actions → "Security scan (live, read-only)" → Run workflow. It prints counts and statuses, never a row.</w:t>
      </w:r>
    </w:p>
    <w:p>
      <w:pPr>
        <w:spacing w:before="20" w:after="20"/>
        <w:ind w:left="720" w:hanging="360"/>
      </w:pPr>
      <w:r>
        <w:rPr>
          <w:lang w:val="en-IN"/>
        </w:rPr>
        <w:t xml:space="preserve">•	Dependencies: `npm audit`.</w:t>
      </w:r>
    </w:p>
    <w:p>
      <w:pPr>
        <w:pStyle w:val="Heading1"/>
      </w:pPr>
      <w:r>
        <w:rPr>
          <w:lang w:val="en-IN"/>
        </w:rPr>
        <w:t xml:space="preserve">CONCLUSION</w:t>
      </w:r>
    </w:p>
    <w:p>
      <w:pPr>
        <w:spacing w:before="60" w:after="60"/>
      </w:pPr>
      <w:r>
        <w:rPr>
          <w:lang w:val="en-IN"/>
        </w:rPr>
        <w:t xml:space="preserve">The penetration test and vulnerability scan found two High findings, both fixed and verified on the live project; the open items are the owner's decisions recorded above.</w:t>
      </w:r>
    </w:p>
    <w:p>
      <w:pPr>
        <w:spacing w:before="60" w:after="60"/>
      </w:pPr>
      <w:r>
        <w:rPr>
          <w:lang w:val="en-IN"/>
        </w:rPr>
        <w:t xml:space="preserve"/>
      </w:r>
    </w:p>
    <w:p>
      <w:pPr>
        <w:spacing w:before="60" w:after="60"/>
      </w:pPr>
      <w:r>
        <w:rPr>
          <w:lang w:val="en-IN"/>
        </w:rPr>
        <w:t xml:space="preserve">Reviewed by:                                        Date:</w:t>
      </w:r>
    </w:p>
    <w:p>
      <w:pPr>
        <w:spacing w:before="60" w:after="60"/>
      </w:pPr>
      <w:r>
        <w:rPr>
          <w:lang w:val="en-IN"/>
        </w:rPr>
        <w:t xml:space="preserve"/>
      </w:r>
    </w:p>
    <w:p>
      <w:pPr>
        <w:spacing w:before="60" w:after="60"/>
      </w:pPr>
      <w:r>
        <w:rPr>
          <w:b/>
          <w:lang w:val="en-IN"/>
        </w:rPr>
        <w:t xml:space="preserve">END OF DOCUMENT</w:t>
      </w:r>
    </w:p>
    <w:sectPr w:rsidR="008C3E1B" w:rsidRPr="0038176E" w:rsidSect="00AC5081">
      <w:headerReference w:type="default" r:id="rId10"/>
      <w:footerReference w:type="default" r:id="rId11"/>
      <w:pgSz w:w="11906" w:h="16838"/>
      <w:pgMar w:top="1418" w:right="1418" w:bottom="1800"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5551" w:rsidRDefault="00F55551">
      <w:r>
        <w:separator/>
      </w:r>
    </w:p>
  </w:endnote>
  <w:endnote w:type="continuationSeparator" w:id="0">
    <w:p w:rsidR="00F55551" w:rsidRDefault="00F55551">
      <w:r>
        <w:continuationSeparator/>
      </w:r>
      <w:bookmarkStart w:id="0" w:name="DVXParaEnd"/>
      <w:bookmarkEnd w:id="0"/>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notTrueType/>
    <w:pitch w:val="fixed"/>
    <w:sig w:usb0="00000000"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A06" w:rsidRDefault="00700A06" w:rsidP="00D4332F">
    <w:pPr>
      <w:pStyle w:val="Footer"/>
      <w:jc w:val="center"/>
      <w:rPr>
        <w:sz w:val="16"/>
      </w:rPr>
    </w:pPr>
    <w:r>
      <w:rPr>
        <w:noProof/>
        <w:lang w:val="en-IN" w:eastAsia="en-IN"/>
      </w:rPr>
      <mc:AlternateContent>
        <mc:Choice Requires="wps">
          <w:drawing>
            <wp:anchor distT="0" distB="0" distL="114300" distR="114300" simplePos="0" relativeHeight="251658240" behindDoc="0" locked="0" layoutInCell="0" allowOverlap="1" wp14:anchorId="022FD42B" wp14:editId="7FEB20C7">
              <wp:simplePos x="0" y="0"/>
              <wp:positionH relativeFrom="column">
                <wp:posOffset>6488430</wp:posOffset>
              </wp:positionH>
              <wp:positionV relativeFrom="paragraph">
                <wp:posOffset>-104140</wp:posOffset>
              </wp:positionV>
              <wp:extent cx="10795" cy="635"/>
              <wp:effectExtent l="11430" t="10160" r="6350" b="825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95" cy="63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B06C88" id="Rectangle 1" o:spid="_x0000_s1026" style="position:absolute;margin-left:510.9pt;margin-top:-8.2pt;width:.85pt;height:.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" o:allowincell="f"/>
          </w:pict>
        </mc:Fallback>
      </mc:AlternateContent>
    </w:r>
    <w:r>
      <w:rPr>
        <w:sz w:val="16"/>
      </w:rPr>
      <w:t xml:space="preserve">This document is the property of Air Liquide Medical Systems. Any communication or reproduction thereof, even partial, is prohibited without the owner’s prior and written consent </w:t>
    </w:r>
  </w:p>
  <w:p w:rsidR="00700A06" w:rsidRPr="00AC5081" w:rsidRDefault="00700A06" w:rsidP="00AC5081">
    <w:pPr>
      <w:pStyle w:val="Footer"/>
      <w:jc w:val="center"/>
      <w:rPr>
        <w:szCs w:val="20"/>
      </w:rPr>
    </w:pPr>
    <w:r>
      <w:rPr>
        <w:szCs w:val="20"/>
      </w:rPr>
      <w:t xml:space="preserve">TMPL No:R/MR/28 </w:t>
    </w:r>
    <w:r w:rsidRPr="00A05646">
      <w:rPr>
        <w:szCs w:val="20"/>
      </w:rPr>
      <w:t xml:space="preserve">Rev: </w:t>
    </w:r>
    <w:r>
      <w:rPr>
        <w:szCs w:val="20"/>
      </w:rPr>
      <w:t>MAY 2019</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5551" w:rsidRDefault="00F55551">
      <w:r>
        <w:separator/>
      </w:r>
    </w:p>
  </w:footnote>
  <w:footnote w:type="continuationSeparator" w:id="0">
    <w:p w:rsidR="00F55551" w:rsidRDefault="00F555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871"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03"/>
      <w:gridCol w:w="4632"/>
      <w:gridCol w:w="1234"/>
      <w:gridCol w:w="554"/>
      <w:gridCol w:w="1148"/>
    </w:tblGrid>
    <w:tr w:rsidR="00700A06" w:rsidRPr="00470A69">
      <w:trPr>
        <w:trHeight w:val="228"/>
      </w:trPr>
      <w:tc>
        <w:tcPr>
          <w:tcW w:w="2303" w:type="dxa"/>
          <w:vMerge w:val="restart"/>
          <w:vAlign w:val="center"/>
        </w:tcPr>
        <w:p w:rsidR="00700A06" w:rsidRPr="00470A69" w:rsidRDefault="00700A06" w:rsidP="00592714">
          <w:pPr>
            <w:jc w:val="center"/>
            <w:rPr>
              <w:rFonts w:ascii="Times New Roman" w:hAnsi="Times New Roman"/>
            </w:rPr>
          </w:pPr>
        </w:p>
        <w:p w:rsidR="00700A06" w:rsidRPr="00470A69" w:rsidRDefault="00700A06" w:rsidP="00592714">
          <w:pPr>
            <w:jc w:val="center"/>
            <w:rPr>
              <w:rFonts w:ascii="Times New Roman" w:hAnsi="Times New Roman"/>
            </w:rPr>
          </w:pPr>
          <w:r>
            <w:rPr>
              <w:noProof/>
              <w:lang w:val="en-IN" w:eastAsia="en-IN"/>
            </w:rPr>
            <w:drawing>
              <wp:inline distT="0" distB="0" distL="0" distR="0" wp14:anchorId="2D6AF451" wp14:editId="7B2B828A">
                <wp:extent cx="1355046" cy="5143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67952" cy="519249"/>
                        </a:xfrm>
                        <a:prstGeom prst="rect">
                          <a:avLst/>
                        </a:prstGeom>
                        <a:noFill/>
                        <a:extLst/>
                      </pic:spPr>
                    </pic:pic>
                  </a:graphicData>
                </a:graphic>
              </wp:inline>
            </w:drawing>
          </w:r>
        </w:p>
        <w:p w:rsidR="00700A06" w:rsidRPr="00470A69" w:rsidRDefault="00700A06" w:rsidP="00592714">
          <w:pPr>
            <w:jc w:val="center"/>
            <w:rPr>
              <w:rFonts w:ascii="Times New Roman" w:hAnsi="Times New Roman"/>
              <w:b/>
              <w:color w:val="000000"/>
              <w:sz w:val="12"/>
              <w:szCs w:val="12"/>
            </w:rPr>
          </w:pPr>
        </w:p>
      </w:tc>
      <w:tc>
        <w:tcPr>
          <w:tcW w:w="4632" w:type="dxa"/>
          <w:vMerge w:val="restart"/>
          <w:vAlign w:val="center"/>
        </w:tcPr>
        <w:p w:rsidR="00700A06" w:rsidRPr="003F2885" w:rsidRDefault="00700A06" w:rsidP="00592714">
          <w:pPr>
            <w:jc w:val="center"/>
            <w:rPr>
              <w:rFonts w:ascii="Times New Roman" w:hAnsi="Times New Roman"/>
              <w:b/>
              <w:i/>
              <w:sz w:val="22"/>
              <w:szCs w:val="22"/>
            </w:rPr>
          </w:pPr>
          <w:r w:rsidRPr="005737A6">
            <w:rPr>
              <w:rFonts w:ascii="Times New Roman" w:hAnsi="Times New Roman"/>
              <w:b/>
              <w:color w:val="000000"/>
            </w:rPr>
            <w:t>AIR LIQUIDE MEDICAL SYSTEMS PVT. LTD</w:t>
          </w:r>
          <w:r w:rsidRPr="005737A6">
            <w:rPr>
              <w:rFonts w:ascii="Times New Roman" w:hAnsi="Times New Roman"/>
              <w:b/>
              <w:color w:val="000000"/>
              <w:sz w:val="12"/>
              <w:szCs w:val="12"/>
            </w:rPr>
            <w:t>.</w:t>
          </w:r>
        </w:p>
        <w:p w:rsidR="00700A06" w:rsidRPr="00470A69" w:rsidRDefault="00700A06" w:rsidP="00592714">
          <w:pPr>
            <w:jc w:val="center"/>
            <w:rPr>
              <w:rFonts w:ascii="Times New Roman" w:hAnsi="Times New Roman"/>
              <w:b/>
              <w:sz w:val="22"/>
              <w:szCs w:val="22"/>
            </w:rPr>
          </w:pPr>
          <w:r>
            <w:rPr>
              <w:rFonts w:ascii="Times New Roman" w:hAnsi="Times New Roman"/>
              <w:b/>
              <w:sz w:val="22"/>
              <w:szCs w:val="22"/>
            </w:rPr>
            <w:t>R&amp;D</w:t>
          </w:r>
        </w:p>
      </w:tc>
      <w:tc>
        <w:tcPr>
          <w:tcW w:w="1234" w:type="dxa"/>
          <w:vAlign w:val="center"/>
        </w:tcPr>
        <w:p w:rsidR="00700A06" w:rsidRPr="00470A69" w:rsidRDefault="00700A06" w:rsidP="00592714">
          <w:pPr>
            <w:rPr>
              <w:rFonts w:ascii="Times New Roman" w:hAnsi="Times New Roman"/>
              <w:sz w:val="18"/>
              <w:szCs w:val="18"/>
            </w:rPr>
          </w:pPr>
          <w:r>
            <w:rPr>
              <w:rFonts w:ascii="Times New Roman" w:hAnsi="Times New Roman"/>
              <w:sz w:val="18"/>
              <w:szCs w:val="18"/>
            </w:rPr>
            <w:t>DOC</w:t>
          </w:r>
          <w:r w:rsidRPr="00470A69">
            <w:rPr>
              <w:rFonts w:ascii="Times New Roman" w:hAnsi="Times New Roman"/>
              <w:sz w:val="18"/>
              <w:szCs w:val="18"/>
            </w:rPr>
            <w:t xml:space="preserve"> REF</w:t>
          </w:r>
        </w:p>
      </w:tc>
      <w:tc>
        <w:tcPr>
          <w:tcW w:w="1702" w:type="dxa"/>
          <w:gridSpan w:val="2"/>
          <w:vAlign w:val="center"/>
        </w:tcPr>
        <w:p w:rsidR="00700A06" w:rsidRPr="00470A69" w:rsidRDefault="00700A06" w:rsidP="00235E5E">
          <w:pPr>
            <w:rPr>
              <w:rFonts w:ascii="Times New Roman" w:hAnsi="Times New Roman"/>
              <w:sz w:val="18"/>
              <w:szCs w:val="18"/>
            </w:rPr>
          </w:pPr>
          <w:r>
            <w:rPr>
              <w:rFonts w:ascii="Times New Roman" w:hAnsi="Times New Roman"/>
              <w:szCs w:val="20"/>
            </w:rPr>
            <w:t xml:space="preserve">     Annex to R/QMS/SV/13</w:t>
          </w:r>
        </w:p>
      </w:tc>
    </w:tr>
    <w:tr w:rsidR="00700A06" w:rsidRPr="00470A69">
      <w:trPr>
        <w:trHeight w:val="365"/>
      </w:trPr>
      <w:tc>
        <w:tcPr>
          <w:tcW w:w="2303" w:type="dxa"/>
          <w:vMerge/>
          <w:vAlign w:val="center"/>
        </w:tcPr>
        <w:p w:rsidR="00700A06" w:rsidRPr="00470A69" w:rsidRDefault="00700A06" w:rsidP="00592714">
          <w:pPr>
            <w:jc w:val="center"/>
            <w:rPr>
              <w:rFonts w:ascii="Times New Roman" w:hAnsi="Times New Roman"/>
            </w:rPr>
          </w:pPr>
        </w:p>
      </w:tc>
      <w:tc>
        <w:tcPr>
          <w:tcW w:w="4632" w:type="dxa"/>
          <w:vMerge/>
          <w:vAlign w:val="center"/>
        </w:tcPr>
        <w:p w:rsidR="00700A06" w:rsidRPr="00470A69" w:rsidRDefault="00700A06" w:rsidP="00592714">
          <w:pPr>
            <w:jc w:val="center"/>
            <w:rPr>
              <w:rFonts w:ascii="Times New Roman" w:hAnsi="Times New Roman"/>
              <w:sz w:val="22"/>
              <w:szCs w:val="22"/>
            </w:rPr>
          </w:pPr>
        </w:p>
      </w:tc>
      <w:tc>
        <w:tcPr>
          <w:tcW w:w="1234" w:type="dxa"/>
          <w:vAlign w:val="center"/>
        </w:tcPr>
        <w:p w:rsidR="00700A06" w:rsidRPr="00470A69" w:rsidRDefault="00700A06" w:rsidP="00D7177B">
          <w:pPr>
            <w:jc w:val="center"/>
            <w:rPr>
              <w:rFonts w:ascii="Times New Roman" w:hAnsi="Times New Roman"/>
              <w:sz w:val="18"/>
              <w:szCs w:val="18"/>
            </w:rPr>
          </w:pPr>
          <w:r>
            <w:rPr>
              <w:rFonts w:ascii="Times New Roman" w:hAnsi="Times New Roman"/>
              <w:sz w:val="18"/>
              <w:szCs w:val="18"/>
            </w:rPr>
            <w:t>SOFTWARE TOOL</w:t>
          </w:r>
        </w:p>
      </w:tc>
      <w:tc>
        <w:tcPr>
          <w:tcW w:w="1702" w:type="dxa"/>
          <w:gridSpan w:val="2"/>
          <w:vAlign w:val="center"/>
        </w:tcPr>
        <w:p w:rsidR="00700A06" w:rsidRPr="00470A69" w:rsidRDefault="00700A06" w:rsidP="00D7177B">
          <w:pPr>
            <w:jc w:val="center"/>
            <w:rPr>
              <w:rFonts w:ascii="Times New Roman" w:hAnsi="Times New Roman"/>
              <w:sz w:val="18"/>
              <w:szCs w:val="18"/>
            </w:rPr>
          </w:pPr>
          <w:r>
            <w:rPr>
              <w:rFonts w:ascii="Times New Roman" w:hAnsi="Times New Roman"/>
              <w:sz w:val="18"/>
              <w:szCs w:val="18"/>
            </w:rPr>
            <w:t>RITHI</w:t>
          </w:r>
        </w:p>
      </w:tc>
    </w:tr>
    <w:tr w:rsidR="00700A06" w:rsidRPr="00470A69" w:rsidTr="00A740D2">
      <w:trPr>
        <w:trHeight w:val="359"/>
      </w:trPr>
      <w:tc>
        <w:tcPr>
          <w:tcW w:w="2303" w:type="dxa"/>
          <w:vMerge/>
          <w:vAlign w:val="center"/>
        </w:tcPr>
        <w:p w:rsidR="00700A06" w:rsidRPr="00470A69" w:rsidRDefault="00700A06" w:rsidP="00592714">
          <w:pPr>
            <w:jc w:val="center"/>
            <w:rPr>
              <w:rFonts w:ascii="Times New Roman" w:hAnsi="Times New Roman"/>
            </w:rPr>
          </w:pPr>
        </w:p>
      </w:tc>
      <w:tc>
        <w:tcPr>
          <w:tcW w:w="4632" w:type="dxa"/>
          <w:vMerge w:val="restart"/>
          <w:vAlign w:val="center"/>
        </w:tcPr>
        <w:p w:rsidR="00700A06" w:rsidRPr="00470A69" w:rsidRDefault="00700A06" w:rsidP="00235E5E">
          <w:pPr>
            <w:pStyle w:val="Header"/>
            <w:jc w:val="center"/>
            <w:rPr>
              <w:rFonts w:ascii="Times New Roman" w:hAnsi="Times New Roman"/>
              <w:b/>
              <w:sz w:val="22"/>
              <w:szCs w:val="22"/>
            </w:rPr>
          </w:pPr>
          <w:r w:rsidRPr="005737A6">
            <w:rPr>
              <w:rFonts w:ascii="Times New Roman" w:hAnsi="Times New Roman"/>
              <w:b/>
              <w:sz w:val="28"/>
              <w:szCs w:val="22"/>
            </w:rPr>
            <w:t xml:space="preserve"> </w:t>
          </w:r>
          <w:r>
            <w:rPr>
              <w:rFonts w:ascii="Times New Roman" w:hAnsi="Times New Roman"/>
              <w:b/>
              <w:sz w:val="28"/>
              <w:szCs w:val="22"/>
            </w:rPr>
            <w:t>Security scan of RITHI</w:t>
          </w:r>
        </w:p>
      </w:tc>
      <w:tc>
        <w:tcPr>
          <w:tcW w:w="1234" w:type="dxa"/>
          <w:vAlign w:val="center"/>
        </w:tcPr>
        <w:p w:rsidR="00700A06" w:rsidRPr="009E24CC" w:rsidRDefault="00700A06" w:rsidP="00592714">
          <w:pPr>
            <w:jc w:val="center"/>
            <w:rPr>
              <w:rFonts w:ascii="Times New Roman" w:hAnsi="Times New Roman"/>
              <w:sz w:val="18"/>
              <w:szCs w:val="18"/>
            </w:rPr>
          </w:pPr>
          <w:r>
            <w:rPr>
              <w:rFonts w:ascii="Times New Roman" w:hAnsi="Times New Roman"/>
              <w:sz w:val="18"/>
              <w:szCs w:val="18"/>
            </w:rPr>
            <w:t>Rev. No/ Date</w:t>
          </w:r>
        </w:p>
      </w:tc>
      <w:tc>
        <w:tcPr>
          <w:tcW w:w="554" w:type="dxa"/>
          <w:vAlign w:val="center"/>
        </w:tcPr>
        <w:p w:rsidR="00700A06" w:rsidRPr="00470A69" w:rsidRDefault="00700A06" w:rsidP="00592714">
          <w:pPr>
            <w:jc w:val="center"/>
            <w:rPr>
              <w:rFonts w:ascii="Times New Roman" w:hAnsi="Times New Roman"/>
              <w:sz w:val="18"/>
              <w:szCs w:val="18"/>
            </w:rPr>
          </w:pPr>
          <w:r>
            <w:rPr>
              <w:rFonts w:ascii="Times New Roman" w:hAnsi="Times New Roman"/>
              <w:sz w:val="18"/>
              <w:szCs w:val="18"/>
            </w:rPr>
            <w:t>00</w:t>
          </w:r>
        </w:p>
      </w:tc>
      <w:tc>
        <w:tcPr>
          <w:tcW w:w="1148" w:type="dxa"/>
          <w:vAlign w:val="center"/>
        </w:tcPr>
        <w:p w:rsidR="00700A06" w:rsidRPr="00470A69" w:rsidRDefault="00700A06" w:rsidP="00592714">
          <w:pPr>
            <w:jc w:val="center"/>
            <w:rPr>
              <w:rFonts w:ascii="Times New Roman" w:hAnsi="Times New Roman"/>
              <w:sz w:val="18"/>
              <w:szCs w:val="18"/>
            </w:rPr>
          </w:pPr>
          <w:r>
            <w:rPr>
              <w:rFonts w:ascii="Times New Roman" w:hAnsi="Times New Roman"/>
              <w:sz w:val="18"/>
              <w:szCs w:val="18"/>
            </w:rPr>
            <w:t/>
          </w:r>
        </w:p>
      </w:tc>
    </w:tr>
    <w:tr w:rsidR="00700A06" w:rsidRPr="00470A69">
      <w:trPr>
        <w:trHeight w:val="223"/>
      </w:trPr>
      <w:tc>
        <w:tcPr>
          <w:tcW w:w="2303" w:type="dxa"/>
          <w:vMerge/>
          <w:vAlign w:val="center"/>
        </w:tcPr>
        <w:p w:rsidR="00700A06" w:rsidRPr="00470A69" w:rsidRDefault="00700A06" w:rsidP="00592714">
          <w:pPr>
            <w:jc w:val="center"/>
            <w:rPr>
              <w:rFonts w:ascii="Times New Roman" w:hAnsi="Times New Roman"/>
            </w:rPr>
          </w:pPr>
        </w:p>
      </w:tc>
      <w:tc>
        <w:tcPr>
          <w:tcW w:w="4632" w:type="dxa"/>
          <w:vMerge/>
          <w:vAlign w:val="center"/>
        </w:tcPr>
        <w:p w:rsidR="00700A06" w:rsidRPr="00470A69" w:rsidRDefault="00700A06" w:rsidP="00592714">
          <w:pPr>
            <w:jc w:val="center"/>
            <w:rPr>
              <w:rFonts w:ascii="Times New Roman" w:hAnsi="Times New Roman"/>
            </w:rPr>
          </w:pPr>
        </w:p>
      </w:tc>
      <w:tc>
        <w:tcPr>
          <w:tcW w:w="1234" w:type="dxa"/>
          <w:vAlign w:val="center"/>
        </w:tcPr>
        <w:p w:rsidR="00700A06" w:rsidRPr="00470A69" w:rsidRDefault="00700A06" w:rsidP="00592714">
          <w:pPr>
            <w:jc w:val="center"/>
            <w:rPr>
              <w:rFonts w:ascii="Times New Roman" w:hAnsi="Times New Roman"/>
              <w:sz w:val="18"/>
              <w:szCs w:val="18"/>
            </w:rPr>
          </w:pPr>
          <w:r w:rsidRPr="00470A69">
            <w:rPr>
              <w:rFonts w:ascii="Times New Roman" w:hAnsi="Times New Roman"/>
              <w:sz w:val="18"/>
              <w:szCs w:val="18"/>
            </w:rPr>
            <w:t>PAGE NO.</w:t>
          </w:r>
        </w:p>
      </w:tc>
      <w:tc>
        <w:tcPr>
          <w:tcW w:w="1702" w:type="dxa"/>
          <w:gridSpan w:val="2"/>
          <w:vAlign w:val="center"/>
        </w:tcPr>
        <w:p w:rsidR="00700A06" w:rsidRPr="00470A69" w:rsidRDefault="00700A06" w:rsidP="00592714">
          <w:pPr>
            <w:jc w:val="center"/>
            <w:rPr>
              <w:rFonts w:ascii="Times New Roman" w:hAnsi="Times New Roman"/>
              <w:sz w:val="18"/>
              <w:szCs w:val="18"/>
            </w:rPr>
          </w:pPr>
          <w:r w:rsidRPr="00470A69">
            <w:rPr>
              <w:rStyle w:val="PageNumber"/>
              <w:rFonts w:ascii="Times New Roman" w:hAnsi="Times New Roman"/>
              <w:sz w:val="18"/>
              <w:szCs w:val="18"/>
            </w:rPr>
            <w:fldChar w:fldCharType="begin"/>
          </w:r>
          <w:r w:rsidRPr="00470A69">
            <w:rPr>
              <w:rStyle w:val="PageNumber"/>
              <w:rFonts w:ascii="Times New Roman" w:hAnsi="Times New Roman"/>
              <w:sz w:val="18"/>
              <w:szCs w:val="18"/>
            </w:rPr>
            <w:instrText xml:space="preserve"> PAGE </w:instrText>
          </w:r>
          <w:r w:rsidRPr="00470A69">
            <w:rPr>
              <w:rStyle w:val="PageNumber"/>
              <w:rFonts w:ascii="Times New Roman" w:hAnsi="Times New Roman"/>
              <w:sz w:val="18"/>
              <w:szCs w:val="18"/>
            </w:rPr>
            <w:fldChar w:fldCharType="separate"/>
          </w:r>
          <w:r w:rsidR="003C2566">
            <w:rPr>
              <w:rStyle w:val="PageNumber"/>
              <w:rFonts w:ascii="Times New Roman" w:hAnsi="Times New Roman"/>
              <w:noProof/>
              <w:sz w:val="18"/>
              <w:szCs w:val="18"/>
            </w:rPr>
            <w:t>9</w:t>
          </w:r>
          <w:r w:rsidRPr="00470A69">
            <w:rPr>
              <w:rStyle w:val="PageNumber"/>
              <w:rFonts w:ascii="Times New Roman" w:hAnsi="Times New Roman"/>
              <w:sz w:val="18"/>
              <w:szCs w:val="18"/>
            </w:rPr>
            <w:fldChar w:fldCharType="end"/>
          </w:r>
          <w:r w:rsidRPr="00470A69">
            <w:rPr>
              <w:rStyle w:val="PageNumber"/>
              <w:rFonts w:ascii="Times New Roman" w:hAnsi="Times New Roman"/>
              <w:sz w:val="18"/>
              <w:szCs w:val="18"/>
            </w:rPr>
            <w:t xml:space="preserve"> of </w:t>
          </w:r>
          <w:r w:rsidR="00F55551">
            <w:fldChar w:fldCharType="begin"/>
          </w:r>
          <w:r w:rsidR="00F55551">
            <w:instrText xml:space="preserve"> NUMPAGES  \* MERGEFORMAT </w:instrText>
          </w:r>
          <w:r w:rsidR="00F55551">
            <w:fldChar w:fldCharType="separate"/>
          </w:r>
          <w:r w:rsidR="003C2566" w:rsidRPr="003C2566">
            <w:rPr>
              <w:rStyle w:val="PageNumber"/>
              <w:rFonts w:ascii="Times New Roman" w:hAnsi="Times New Roman"/>
              <w:noProof/>
              <w:sz w:val="18"/>
              <w:szCs w:val="18"/>
            </w:rPr>
            <w:t>10</w:t>
          </w:r>
          <w:r w:rsidR="00F55551">
            <w:rPr>
              <w:rStyle w:val="PageNumber"/>
              <w:rFonts w:ascii="Times New Roman" w:hAnsi="Times New Roman"/>
              <w:noProof/>
              <w:sz w:val="18"/>
              <w:szCs w:val="18"/>
            </w:rPr>
            <w:fldChar w:fldCharType="end"/>
          </w:r>
        </w:p>
      </w:tc>
    </w:tr>
  </w:tbl>
  <w:p w:rsidR="00700A06" w:rsidRDefault="00700A06" w:rsidP="00E26E30">
    <w:pPr>
      <w:pStyle w:val="Header"/>
    </w:pPr>
    <w:r>
      <w:rPr>
        <w:noProof/>
        <w:lang w:val="en-IN" w:eastAsia="en-IN"/>
      </w:rPr>
      <mc:AlternateContent>
        <mc:Choice Requires="wps">
          <w:drawing>
            <wp:anchor distT="0" distB="0" distL="114300" distR="114300" simplePos="0" relativeHeight="251659264" behindDoc="0" locked="0" layoutInCell="1" allowOverlap="1" wp14:anchorId="7F35488E" wp14:editId="3A2D7183">
              <wp:simplePos x="0" y="0"/>
              <wp:positionH relativeFrom="column">
                <wp:posOffset>-121920</wp:posOffset>
              </wp:positionH>
              <wp:positionV relativeFrom="paragraph">
                <wp:posOffset>167640</wp:posOffset>
              </wp:positionV>
              <wp:extent cx="6102350" cy="7991475"/>
              <wp:effectExtent l="0" t="0" r="12700" b="28575"/>
              <wp:wrapNone/>
              <wp:docPr id="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02350" cy="7991475"/>
                      </a:xfrm>
                      <a:prstGeom prst="rect">
                        <a:avLst/>
                      </a:prstGeom>
                      <a:solidFill>
                        <a:srgbClr val="FFFFFF"/>
                      </a:solidFill>
                      <a:ln w="9525">
                        <a:solidFill>
                          <a:srgbClr val="000000"/>
                        </a:solidFill>
                        <a:miter lim="800000"/>
                        <a:headEnd/>
                        <a:tailEnd/>
                      </a:ln>
                    </wps:spPr>
                    <wps:txbx>
                      <w:txbxContent>
                        <w:p w:rsidR="00700A06" w:rsidRDefault="00700A06" w:rsidP="00C3466A">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35488E" id="Rectangle 6" o:spid="_x0000_s1026" style="position:absolute;left:0;text-align:left;margin-left:-9.6pt;margin-top:13.2pt;width:480.5pt;height:62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">
              <v:textbox>
                <w:txbxContent>
                  <w:p w:rsidR="00700A06" w:rsidRDefault="00700A06" w:rsidP="00C3466A">
                    <w:pPr>
                      <w:jc w:val="cente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E3E32"/>
    <w:multiLevelType w:val="hybridMultilevel"/>
    <w:tmpl w:val="AD10EFE8"/>
    <w:lvl w:ilvl="0" w:tplc="3522D4AA">
      <w:start w:val="1"/>
      <w:numFmt w:val="bullet"/>
      <w:lvlText w:val=""/>
      <w:lvlJc w:val="left"/>
      <w:pPr>
        <w:ind w:left="435" w:hanging="360"/>
      </w:pPr>
      <w:rPr>
        <w:rFonts w:ascii="Symbol" w:eastAsia="MS Mincho"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6C0516"/>
    <w:multiLevelType w:val="hybridMultilevel"/>
    <w:tmpl w:val="C284E5BA"/>
    <w:lvl w:ilvl="0" w:tplc="3522D4AA">
      <w:start w:val="1"/>
      <w:numFmt w:val="bullet"/>
      <w:lvlText w:val=""/>
      <w:lvlJc w:val="left"/>
      <w:pPr>
        <w:ind w:left="360" w:hanging="360"/>
      </w:pPr>
      <w:rPr>
        <w:rFonts w:ascii="Symbol" w:eastAsia="MS Mincho"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CB2AF8"/>
    <w:multiLevelType w:val="hybridMultilevel"/>
    <w:tmpl w:val="EB9ED3C8"/>
    <w:lvl w:ilvl="0" w:tplc="EEFCFD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3A0881"/>
    <w:multiLevelType w:val="hybridMultilevel"/>
    <w:tmpl w:val="8AE021DC"/>
    <w:lvl w:ilvl="0" w:tplc="3522D4AA">
      <w:start w:val="1"/>
      <w:numFmt w:val="bullet"/>
      <w:lvlText w:val=""/>
      <w:lvlJc w:val="left"/>
      <w:pPr>
        <w:ind w:left="360" w:hanging="360"/>
      </w:pPr>
      <w:rPr>
        <w:rFonts w:ascii="Symbol" w:eastAsia="MS Mincho" w:hAnsi="Symbol"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D477639"/>
    <w:multiLevelType w:val="multilevel"/>
    <w:tmpl w:val="39DAA892"/>
    <w:lvl w:ilvl="0">
      <w:start w:val="1"/>
      <w:numFmt w:val="decimal"/>
      <w:pStyle w:val="Heading1"/>
      <w:lvlText w:val="%1"/>
      <w:lvlJc w:val="left"/>
      <w:pPr>
        <w:tabs>
          <w:tab w:val="num" w:pos="576"/>
        </w:tabs>
        <w:ind w:left="576" w:hanging="432"/>
      </w:pPr>
      <w:rPr>
        <w:rFonts w:cs="Times New Roman" w:hint="default"/>
      </w:rPr>
    </w:lvl>
    <w:lvl w:ilvl="1">
      <w:start w:val="1"/>
      <w:numFmt w:val="decimal"/>
      <w:pStyle w:val="Heading2"/>
      <w:lvlText w:val="%1.%2"/>
      <w:lvlJc w:val="left"/>
      <w:pPr>
        <w:tabs>
          <w:tab w:val="num" w:pos="5538"/>
        </w:tabs>
        <w:ind w:left="5538" w:hanging="576"/>
      </w:pPr>
      <w:rPr>
        <w:rFonts w:cs="Times New Roman" w:hint="default"/>
      </w:rPr>
    </w:lvl>
    <w:lvl w:ilvl="2">
      <w:start w:val="1"/>
      <w:numFmt w:val="decimal"/>
      <w:pStyle w:val="Heading3"/>
      <w:lvlText w:val="%1.%2.%3"/>
      <w:lvlJc w:val="left"/>
      <w:pPr>
        <w:tabs>
          <w:tab w:val="num" w:pos="864"/>
        </w:tabs>
        <w:ind w:left="864" w:hanging="720"/>
      </w:pPr>
      <w:rPr>
        <w:rFonts w:cs="Times New Roman" w:hint="default"/>
      </w:rPr>
    </w:lvl>
    <w:lvl w:ilvl="3">
      <w:start w:val="1"/>
      <w:numFmt w:val="decimal"/>
      <w:pStyle w:val="Heading4"/>
      <w:lvlText w:val="%1.%2.%3.%4"/>
      <w:lvlJc w:val="left"/>
      <w:pPr>
        <w:tabs>
          <w:tab w:val="num" w:pos="1224"/>
        </w:tabs>
        <w:ind w:left="1224" w:hanging="864"/>
      </w:pPr>
      <w:rPr>
        <w:rFonts w:cs="Times New Roman" w:hint="default"/>
      </w:rPr>
    </w:lvl>
    <w:lvl w:ilvl="4">
      <w:start w:val="1"/>
      <w:numFmt w:val="decimal"/>
      <w:pStyle w:val="Heading5"/>
      <w:lvlText w:val="%1.%2.%3.%4.%5"/>
      <w:lvlJc w:val="left"/>
      <w:pPr>
        <w:tabs>
          <w:tab w:val="num" w:pos="1152"/>
        </w:tabs>
        <w:ind w:left="1152" w:hanging="1008"/>
      </w:pPr>
      <w:rPr>
        <w:rFonts w:cs="Times New Roman" w:hint="default"/>
      </w:rPr>
    </w:lvl>
    <w:lvl w:ilvl="5">
      <w:start w:val="1"/>
      <w:numFmt w:val="decimal"/>
      <w:pStyle w:val="Heading6"/>
      <w:lvlText w:val="%1.%2.%3.%4.%5.%6"/>
      <w:lvlJc w:val="left"/>
      <w:pPr>
        <w:tabs>
          <w:tab w:val="num" w:pos="1296"/>
        </w:tabs>
        <w:ind w:left="1296" w:hanging="1152"/>
      </w:pPr>
      <w:rPr>
        <w:rFonts w:cs="Times New Roman" w:hint="default"/>
      </w:rPr>
    </w:lvl>
    <w:lvl w:ilvl="6">
      <w:start w:val="1"/>
      <w:numFmt w:val="decimal"/>
      <w:pStyle w:val="Heading7"/>
      <w:lvlText w:val="%1.%2.%3.%4.%5.%6.%7"/>
      <w:lvlJc w:val="left"/>
      <w:pPr>
        <w:tabs>
          <w:tab w:val="num" w:pos="1440"/>
        </w:tabs>
        <w:ind w:left="1440" w:hanging="1296"/>
      </w:pPr>
      <w:rPr>
        <w:rFonts w:cs="Times New Roman" w:hint="default"/>
      </w:rPr>
    </w:lvl>
    <w:lvl w:ilvl="7">
      <w:start w:val="1"/>
      <w:numFmt w:val="decimal"/>
      <w:pStyle w:val="Heading8"/>
      <w:lvlText w:val="%1.%2.%3.%4.%5.%6.%7.%8"/>
      <w:lvlJc w:val="left"/>
      <w:pPr>
        <w:tabs>
          <w:tab w:val="num" w:pos="1584"/>
        </w:tabs>
        <w:ind w:left="1584" w:hanging="1440"/>
      </w:pPr>
      <w:rPr>
        <w:rFonts w:cs="Times New Roman" w:hint="default"/>
      </w:rPr>
    </w:lvl>
    <w:lvl w:ilvl="8">
      <w:start w:val="1"/>
      <w:numFmt w:val="decimal"/>
      <w:pStyle w:val="Heading9"/>
      <w:lvlText w:val="%1.%2.%3.%4.%5.%6.%7.%8.%9"/>
      <w:lvlJc w:val="left"/>
      <w:pPr>
        <w:tabs>
          <w:tab w:val="num" w:pos="1728"/>
        </w:tabs>
        <w:ind w:left="1728" w:hanging="1584"/>
      </w:pPr>
      <w:rPr>
        <w:rFonts w:cs="Times New Roman" w:hint="default"/>
      </w:rPr>
    </w:lvl>
  </w:abstractNum>
  <w:abstractNum w:abstractNumId="5" w15:restartNumberingAfterBreak="0">
    <w:nsid w:val="23994B25"/>
    <w:multiLevelType w:val="hybridMultilevel"/>
    <w:tmpl w:val="AEA8ED56"/>
    <w:lvl w:ilvl="0" w:tplc="3522D4AA">
      <w:start w:val="1"/>
      <w:numFmt w:val="bullet"/>
      <w:lvlText w:val=""/>
      <w:lvlJc w:val="left"/>
      <w:pPr>
        <w:ind w:left="360" w:hanging="360"/>
      </w:pPr>
      <w:rPr>
        <w:rFonts w:ascii="Symbol" w:eastAsia="MS Mincho" w:hAnsi="Symbol"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47D1405"/>
    <w:multiLevelType w:val="hybridMultilevel"/>
    <w:tmpl w:val="FD3ED2AE"/>
    <w:lvl w:ilvl="0" w:tplc="3522D4AA">
      <w:start w:val="1"/>
      <w:numFmt w:val="bullet"/>
      <w:lvlText w:val=""/>
      <w:lvlJc w:val="left"/>
      <w:pPr>
        <w:ind w:left="435" w:hanging="360"/>
      </w:pPr>
      <w:rPr>
        <w:rFonts w:ascii="Symbol" w:eastAsia="MS Mincho" w:hAnsi="Symbol"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7" w15:restartNumberingAfterBreak="0">
    <w:nsid w:val="291246A8"/>
    <w:multiLevelType w:val="hybridMultilevel"/>
    <w:tmpl w:val="98465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715A57"/>
    <w:multiLevelType w:val="hybridMultilevel"/>
    <w:tmpl w:val="2F1C8EFC"/>
    <w:lvl w:ilvl="0" w:tplc="3522D4AA">
      <w:start w:val="1"/>
      <w:numFmt w:val="bullet"/>
      <w:lvlText w:val=""/>
      <w:lvlJc w:val="left"/>
      <w:pPr>
        <w:ind w:left="360" w:hanging="360"/>
      </w:pPr>
      <w:rPr>
        <w:rFonts w:ascii="Symbol" w:eastAsia="MS Mincho" w:hAnsi="Symbol"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F6E42EA"/>
    <w:multiLevelType w:val="hybridMultilevel"/>
    <w:tmpl w:val="EB9ED3C8"/>
    <w:lvl w:ilvl="0" w:tplc="EEFCFD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A812A5"/>
    <w:multiLevelType w:val="hybridMultilevel"/>
    <w:tmpl w:val="00D693A0"/>
    <w:lvl w:ilvl="0" w:tplc="8264B91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8CC23A4"/>
    <w:multiLevelType w:val="hybridMultilevel"/>
    <w:tmpl w:val="AD9A6F5E"/>
    <w:lvl w:ilvl="0" w:tplc="3522D4AA">
      <w:start w:val="1"/>
      <w:numFmt w:val="bullet"/>
      <w:lvlText w:val=""/>
      <w:lvlJc w:val="left"/>
      <w:pPr>
        <w:ind w:left="360" w:hanging="360"/>
      </w:pPr>
      <w:rPr>
        <w:rFonts w:ascii="Symbol" w:eastAsia="MS Mincho" w:hAnsi="Symbol"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4D13ACD"/>
    <w:multiLevelType w:val="hybridMultilevel"/>
    <w:tmpl w:val="EB666E7A"/>
    <w:lvl w:ilvl="0" w:tplc="A0EC24B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89D7911"/>
    <w:multiLevelType w:val="hybridMultilevel"/>
    <w:tmpl w:val="3104B8E0"/>
    <w:lvl w:ilvl="0" w:tplc="3522D4AA">
      <w:start w:val="1"/>
      <w:numFmt w:val="bullet"/>
      <w:lvlText w:val=""/>
      <w:lvlJc w:val="left"/>
      <w:pPr>
        <w:ind w:left="360" w:hanging="360"/>
      </w:pPr>
      <w:rPr>
        <w:rFonts w:ascii="Symbol" w:eastAsia="MS Mincho" w:hAnsi="Symbol"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1254CBA"/>
    <w:multiLevelType w:val="hybridMultilevel"/>
    <w:tmpl w:val="EB9ED3C8"/>
    <w:lvl w:ilvl="0" w:tplc="EEFCFD8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993588"/>
    <w:multiLevelType w:val="hybridMultilevel"/>
    <w:tmpl w:val="B71069DA"/>
    <w:lvl w:ilvl="0" w:tplc="3522D4AA">
      <w:start w:val="1"/>
      <w:numFmt w:val="bullet"/>
      <w:lvlText w:val=""/>
      <w:lvlJc w:val="left"/>
      <w:pPr>
        <w:ind w:left="510" w:hanging="360"/>
      </w:pPr>
      <w:rPr>
        <w:rFonts w:ascii="Symbol" w:eastAsia="MS Mincho" w:hAnsi="Symbol" w:cs="Times New Roman"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6" w15:restartNumberingAfterBreak="0">
    <w:nsid w:val="594B49F7"/>
    <w:multiLevelType w:val="hybridMultilevel"/>
    <w:tmpl w:val="82405AD0"/>
    <w:lvl w:ilvl="0" w:tplc="3522D4AA">
      <w:start w:val="1"/>
      <w:numFmt w:val="bullet"/>
      <w:lvlText w:val=""/>
      <w:lvlJc w:val="left"/>
      <w:pPr>
        <w:ind w:left="360" w:hanging="360"/>
      </w:pPr>
      <w:rPr>
        <w:rFonts w:ascii="Symbol" w:eastAsia="MS Mincho" w:hAnsi="Symbol" w:cs="Times New Roman" w:hint="default"/>
      </w:rPr>
    </w:lvl>
    <w:lvl w:ilvl="1" w:tplc="04090003" w:tentative="1">
      <w:start w:val="1"/>
      <w:numFmt w:val="bullet"/>
      <w:lvlText w:val="o"/>
      <w:lvlJc w:val="left"/>
      <w:pPr>
        <w:ind w:left="1365" w:hanging="360"/>
      </w:pPr>
      <w:rPr>
        <w:rFonts w:ascii="Courier New" w:hAnsi="Courier New" w:cs="Courier New" w:hint="default"/>
      </w:rPr>
    </w:lvl>
    <w:lvl w:ilvl="2" w:tplc="04090005" w:tentative="1">
      <w:start w:val="1"/>
      <w:numFmt w:val="bullet"/>
      <w:lvlText w:val=""/>
      <w:lvlJc w:val="left"/>
      <w:pPr>
        <w:ind w:left="2085" w:hanging="360"/>
      </w:pPr>
      <w:rPr>
        <w:rFonts w:ascii="Wingdings" w:hAnsi="Wingdings" w:hint="default"/>
      </w:rPr>
    </w:lvl>
    <w:lvl w:ilvl="3" w:tplc="04090001" w:tentative="1">
      <w:start w:val="1"/>
      <w:numFmt w:val="bullet"/>
      <w:lvlText w:val=""/>
      <w:lvlJc w:val="left"/>
      <w:pPr>
        <w:ind w:left="2805" w:hanging="360"/>
      </w:pPr>
      <w:rPr>
        <w:rFonts w:ascii="Symbol" w:hAnsi="Symbol" w:hint="default"/>
      </w:rPr>
    </w:lvl>
    <w:lvl w:ilvl="4" w:tplc="04090003" w:tentative="1">
      <w:start w:val="1"/>
      <w:numFmt w:val="bullet"/>
      <w:lvlText w:val="o"/>
      <w:lvlJc w:val="left"/>
      <w:pPr>
        <w:ind w:left="3525" w:hanging="360"/>
      </w:pPr>
      <w:rPr>
        <w:rFonts w:ascii="Courier New" w:hAnsi="Courier New" w:cs="Courier New" w:hint="default"/>
      </w:rPr>
    </w:lvl>
    <w:lvl w:ilvl="5" w:tplc="04090005" w:tentative="1">
      <w:start w:val="1"/>
      <w:numFmt w:val="bullet"/>
      <w:lvlText w:val=""/>
      <w:lvlJc w:val="left"/>
      <w:pPr>
        <w:ind w:left="4245" w:hanging="360"/>
      </w:pPr>
      <w:rPr>
        <w:rFonts w:ascii="Wingdings" w:hAnsi="Wingdings" w:hint="default"/>
      </w:rPr>
    </w:lvl>
    <w:lvl w:ilvl="6" w:tplc="04090001" w:tentative="1">
      <w:start w:val="1"/>
      <w:numFmt w:val="bullet"/>
      <w:lvlText w:val=""/>
      <w:lvlJc w:val="left"/>
      <w:pPr>
        <w:ind w:left="4965" w:hanging="360"/>
      </w:pPr>
      <w:rPr>
        <w:rFonts w:ascii="Symbol" w:hAnsi="Symbol" w:hint="default"/>
      </w:rPr>
    </w:lvl>
    <w:lvl w:ilvl="7" w:tplc="04090003" w:tentative="1">
      <w:start w:val="1"/>
      <w:numFmt w:val="bullet"/>
      <w:lvlText w:val="o"/>
      <w:lvlJc w:val="left"/>
      <w:pPr>
        <w:ind w:left="5685" w:hanging="360"/>
      </w:pPr>
      <w:rPr>
        <w:rFonts w:ascii="Courier New" w:hAnsi="Courier New" w:cs="Courier New" w:hint="default"/>
      </w:rPr>
    </w:lvl>
    <w:lvl w:ilvl="8" w:tplc="04090005" w:tentative="1">
      <w:start w:val="1"/>
      <w:numFmt w:val="bullet"/>
      <w:lvlText w:val=""/>
      <w:lvlJc w:val="left"/>
      <w:pPr>
        <w:ind w:left="6405" w:hanging="360"/>
      </w:pPr>
      <w:rPr>
        <w:rFonts w:ascii="Wingdings" w:hAnsi="Wingdings" w:hint="default"/>
      </w:rPr>
    </w:lvl>
  </w:abstractNum>
  <w:abstractNum w:abstractNumId="17" w15:restartNumberingAfterBreak="0">
    <w:nsid w:val="595F6BC7"/>
    <w:multiLevelType w:val="hybridMultilevel"/>
    <w:tmpl w:val="A3AC9BAC"/>
    <w:lvl w:ilvl="0" w:tplc="3522D4AA">
      <w:start w:val="1"/>
      <w:numFmt w:val="bullet"/>
      <w:lvlText w:val=""/>
      <w:lvlJc w:val="left"/>
      <w:pPr>
        <w:ind w:left="360" w:hanging="360"/>
      </w:pPr>
      <w:rPr>
        <w:rFonts w:ascii="Symbol" w:eastAsia="MS Mincho" w:hAnsi="Symbol"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E37308D"/>
    <w:multiLevelType w:val="hybridMultilevel"/>
    <w:tmpl w:val="EF58C6C8"/>
    <w:lvl w:ilvl="0" w:tplc="3522D4AA">
      <w:start w:val="1"/>
      <w:numFmt w:val="bullet"/>
      <w:lvlText w:val=""/>
      <w:lvlJc w:val="left"/>
      <w:pPr>
        <w:ind w:left="360" w:hanging="360"/>
      </w:pPr>
      <w:rPr>
        <w:rFonts w:ascii="Symbol" w:eastAsia="MS Mincho" w:hAnsi="Symbol"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1AE62D5"/>
    <w:multiLevelType w:val="hybridMultilevel"/>
    <w:tmpl w:val="F7564624"/>
    <w:lvl w:ilvl="0" w:tplc="3522D4AA">
      <w:start w:val="1"/>
      <w:numFmt w:val="bullet"/>
      <w:lvlText w:val=""/>
      <w:lvlJc w:val="left"/>
      <w:pPr>
        <w:ind w:left="360" w:hanging="360"/>
      </w:pPr>
      <w:rPr>
        <w:rFonts w:ascii="Symbol" w:eastAsia="MS Mincho" w:hAnsi="Symbol"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8A52CB1"/>
    <w:multiLevelType w:val="hybridMultilevel"/>
    <w:tmpl w:val="6BD41A3E"/>
    <w:lvl w:ilvl="0" w:tplc="651AFD2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
  </w:num>
  <w:num w:numId="2">
    <w:abstractNumId w:val="9"/>
  </w:num>
  <w:num w:numId="3">
    <w:abstractNumId w:val="14"/>
  </w:num>
  <w:num w:numId="4">
    <w:abstractNumId w:val="6"/>
  </w:num>
  <w:num w:numId="5">
    <w:abstractNumId w:val="19"/>
  </w:num>
  <w:num w:numId="6">
    <w:abstractNumId w:val="8"/>
  </w:num>
  <w:num w:numId="7">
    <w:abstractNumId w:val="13"/>
  </w:num>
  <w:num w:numId="8">
    <w:abstractNumId w:val="2"/>
  </w:num>
  <w:num w:numId="9">
    <w:abstractNumId w:val="3"/>
  </w:num>
  <w:num w:numId="10">
    <w:abstractNumId w:val="5"/>
  </w:num>
  <w:num w:numId="11">
    <w:abstractNumId w:val="17"/>
  </w:num>
  <w:num w:numId="12">
    <w:abstractNumId w:val="18"/>
  </w:num>
  <w:num w:numId="13">
    <w:abstractNumId w:val="11"/>
  </w:num>
  <w:num w:numId="14">
    <w:abstractNumId w:val="10"/>
  </w:num>
  <w:num w:numId="15">
    <w:abstractNumId w:val="20"/>
  </w:num>
  <w:num w:numId="16">
    <w:abstractNumId w:val="0"/>
  </w:num>
  <w:num w:numId="17">
    <w:abstractNumId w:val="15"/>
  </w:num>
  <w:num w:numId="18">
    <w:abstractNumId w:val="16"/>
  </w:num>
  <w:num w:numId="19">
    <w:abstractNumId w:val="7"/>
  </w:num>
  <w:num w:numId="20">
    <w:abstractNumId w:val="1"/>
  </w:num>
  <w:num w:numId="21">
    <w:abstractNumId w:val="1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updateFields w:val="true"/>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F9B"/>
    <w:rsid w:val="000033F2"/>
    <w:rsid w:val="00003F9B"/>
    <w:rsid w:val="00012BFE"/>
    <w:rsid w:val="00014596"/>
    <w:rsid w:val="000206D6"/>
    <w:rsid w:val="00022F35"/>
    <w:rsid w:val="000240D7"/>
    <w:rsid w:val="000251FA"/>
    <w:rsid w:val="0003459B"/>
    <w:rsid w:val="00037531"/>
    <w:rsid w:val="00042D3B"/>
    <w:rsid w:val="000438E2"/>
    <w:rsid w:val="00047082"/>
    <w:rsid w:val="00047C61"/>
    <w:rsid w:val="0005117C"/>
    <w:rsid w:val="000511E7"/>
    <w:rsid w:val="000517CB"/>
    <w:rsid w:val="00075DF9"/>
    <w:rsid w:val="00081F68"/>
    <w:rsid w:val="00085489"/>
    <w:rsid w:val="00085F1F"/>
    <w:rsid w:val="00085F75"/>
    <w:rsid w:val="00087836"/>
    <w:rsid w:val="00090FF1"/>
    <w:rsid w:val="000934FF"/>
    <w:rsid w:val="00093965"/>
    <w:rsid w:val="0009751D"/>
    <w:rsid w:val="000A2521"/>
    <w:rsid w:val="000A5B40"/>
    <w:rsid w:val="000B049C"/>
    <w:rsid w:val="000B40CE"/>
    <w:rsid w:val="000B4570"/>
    <w:rsid w:val="000C11F9"/>
    <w:rsid w:val="000C2FAF"/>
    <w:rsid w:val="000C4A38"/>
    <w:rsid w:val="000C5E2F"/>
    <w:rsid w:val="000D0355"/>
    <w:rsid w:val="000D0539"/>
    <w:rsid w:val="000D0AE4"/>
    <w:rsid w:val="000E783C"/>
    <w:rsid w:val="000F3523"/>
    <w:rsid w:val="000F55CB"/>
    <w:rsid w:val="00107819"/>
    <w:rsid w:val="00110204"/>
    <w:rsid w:val="00111327"/>
    <w:rsid w:val="00112919"/>
    <w:rsid w:val="00113C37"/>
    <w:rsid w:val="00113F51"/>
    <w:rsid w:val="00117E5B"/>
    <w:rsid w:val="0012252E"/>
    <w:rsid w:val="00124A77"/>
    <w:rsid w:val="00127099"/>
    <w:rsid w:val="001425FA"/>
    <w:rsid w:val="001450B2"/>
    <w:rsid w:val="00163258"/>
    <w:rsid w:val="0016581D"/>
    <w:rsid w:val="00166DB3"/>
    <w:rsid w:val="001670F6"/>
    <w:rsid w:val="0016731A"/>
    <w:rsid w:val="00180C65"/>
    <w:rsid w:val="00181DB8"/>
    <w:rsid w:val="001836AD"/>
    <w:rsid w:val="00184E08"/>
    <w:rsid w:val="00185A6D"/>
    <w:rsid w:val="001913D9"/>
    <w:rsid w:val="00191DAA"/>
    <w:rsid w:val="0019322D"/>
    <w:rsid w:val="0019481E"/>
    <w:rsid w:val="00194F14"/>
    <w:rsid w:val="00194F72"/>
    <w:rsid w:val="0019624D"/>
    <w:rsid w:val="001A51C3"/>
    <w:rsid w:val="001A530A"/>
    <w:rsid w:val="001A7FE8"/>
    <w:rsid w:val="001B5868"/>
    <w:rsid w:val="001B5B29"/>
    <w:rsid w:val="001B6853"/>
    <w:rsid w:val="001C00DE"/>
    <w:rsid w:val="001C087E"/>
    <w:rsid w:val="001C50A1"/>
    <w:rsid w:val="001C61B5"/>
    <w:rsid w:val="001C6738"/>
    <w:rsid w:val="001D06FA"/>
    <w:rsid w:val="001D178B"/>
    <w:rsid w:val="001D484E"/>
    <w:rsid w:val="001E40F1"/>
    <w:rsid w:val="001E54A4"/>
    <w:rsid w:val="001E5651"/>
    <w:rsid w:val="001F5327"/>
    <w:rsid w:val="002000FE"/>
    <w:rsid w:val="00204D7F"/>
    <w:rsid w:val="00207BC3"/>
    <w:rsid w:val="0021033B"/>
    <w:rsid w:val="00210D2B"/>
    <w:rsid w:val="00211D09"/>
    <w:rsid w:val="00212F12"/>
    <w:rsid w:val="00213580"/>
    <w:rsid w:val="00213725"/>
    <w:rsid w:val="0021576E"/>
    <w:rsid w:val="00216CBC"/>
    <w:rsid w:val="00220EF6"/>
    <w:rsid w:val="0022135A"/>
    <w:rsid w:val="00222E4A"/>
    <w:rsid w:val="00223D8B"/>
    <w:rsid w:val="00224948"/>
    <w:rsid w:val="00226444"/>
    <w:rsid w:val="00227582"/>
    <w:rsid w:val="0023076F"/>
    <w:rsid w:val="00231B96"/>
    <w:rsid w:val="00233F1B"/>
    <w:rsid w:val="002343C4"/>
    <w:rsid w:val="0023486C"/>
    <w:rsid w:val="002350A2"/>
    <w:rsid w:val="002355D8"/>
    <w:rsid w:val="00235E5E"/>
    <w:rsid w:val="00236A47"/>
    <w:rsid w:val="0023794C"/>
    <w:rsid w:val="002419FB"/>
    <w:rsid w:val="00263BEE"/>
    <w:rsid w:val="00265341"/>
    <w:rsid w:val="00266AF6"/>
    <w:rsid w:val="00267DE6"/>
    <w:rsid w:val="00272417"/>
    <w:rsid w:val="0027325A"/>
    <w:rsid w:val="00276B11"/>
    <w:rsid w:val="002824F3"/>
    <w:rsid w:val="002922AB"/>
    <w:rsid w:val="00295B44"/>
    <w:rsid w:val="002A38CF"/>
    <w:rsid w:val="002A58EB"/>
    <w:rsid w:val="002A5ABC"/>
    <w:rsid w:val="002B0D40"/>
    <w:rsid w:val="002B661B"/>
    <w:rsid w:val="002C0701"/>
    <w:rsid w:val="002C07E1"/>
    <w:rsid w:val="002C4C73"/>
    <w:rsid w:val="002C52E8"/>
    <w:rsid w:val="002C650F"/>
    <w:rsid w:val="002D077E"/>
    <w:rsid w:val="002D5D1E"/>
    <w:rsid w:val="002E3588"/>
    <w:rsid w:val="002E3998"/>
    <w:rsid w:val="002E3BFF"/>
    <w:rsid w:val="002E6404"/>
    <w:rsid w:val="002F0A4D"/>
    <w:rsid w:val="002F2D42"/>
    <w:rsid w:val="002F534D"/>
    <w:rsid w:val="00303DA9"/>
    <w:rsid w:val="00305227"/>
    <w:rsid w:val="003070B4"/>
    <w:rsid w:val="003108D9"/>
    <w:rsid w:val="00311DE0"/>
    <w:rsid w:val="00320DE5"/>
    <w:rsid w:val="00322FB3"/>
    <w:rsid w:val="003245F2"/>
    <w:rsid w:val="003321A1"/>
    <w:rsid w:val="00332EE2"/>
    <w:rsid w:val="00334190"/>
    <w:rsid w:val="00335B9D"/>
    <w:rsid w:val="00344F82"/>
    <w:rsid w:val="0034604F"/>
    <w:rsid w:val="00351057"/>
    <w:rsid w:val="0035287B"/>
    <w:rsid w:val="00353ACF"/>
    <w:rsid w:val="00355491"/>
    <w:rsid w:val="00356C23"/>
    <w:rsid w:val="003600A4"/>
    <w:rsid w:val="003600AF"/>
    <w:rsid w:val="0036506B"/>
    <w:rsid w:val="00366A13"/>
    <w:rsid w:val="003711F3"/>
    <w:rsid w:val="00373C1A"/>
    <w:rsid w:val="0038176E"/>
    <w:rsid w:val="00385113"/>
    <w:rsid w:val="00387120"/>
    <w:rsid w:val="003925BD"/>
    <w:rsid w:val="00393F8F"/>
    <w:rsid w:val="00395D9A"/>
    <w:rsid w:val="003A3344"/>
    <w:rsid w:val="003A5DD6"/>
    <w:rsid w:val="003A5EB1"/>
    <w:rsid w:val="003A786C"/>
    <w:rsid w:val="003B3C40"/>
    <w:rsid w:val="003B44D8"/>
    <w:rsid w:val="003B50CE"/>
    <w:rsid w:val="003B6237"/>
    <w:rsid w:val="003B6686"/>
    <w:rsid w:val="003C2566"/>
    <w:rsid w:val="003C298B"/>
    <w:rsid w:val="003C583C"/>
    <w:rsid w:val="003C69EB"/>
    <w:rsid w:val="003C6ABD"/>
    <w:rsid w:val="003C6F32"/>
    <w:rsid w:val="003C713F"/>
    <w:rsid w:val="003D21A6"/>
    <w:rsid w:val="003D31D9"/>
    <w:rsid w:val="003E1F1C"/>
    <w:rsid w:val="003E53DD"/>
    <w:rsid w:val="003F2BC2"/>
    <w:rsid w:val="003F3451"/>
    <w:rsid w:val="00403FC8"/>
    <w:rsid w:val="00404867"/>
    <w:rsid w:val="004062E1"/>
    <w:rsid w:val="00420021"/>
    <w:rsid w:val="00420EBE"/>
    <w:rsid w:val="004216C2"/>
    <w:rsid w:val="00423041"/>
    <w:rsid w:val="0042424A"/>
    <w:rsid w:val="00431376"/>
    <w:rsid w:val="004435FD"/>
    <w:rsid w:val="004557B7"/>
    <w:rsid w:val="00460392"/>
    <w:rsid w:val="0046070A"/>
    <w:rsid w:val="00460FC9"/>
    <w:rsid w:val="00462DAD"/>
    <w:rsid w:val="004631BE"/>
    <w:rsid w:val="00463CE6"/>
    <w:rsid w:val="004666E1"/>
    <w:rsid w:val="00470D7F"/>
    <w:rsid w:val="0047710E"/>
    <w:rsid w:val="00483A75"/>
    <w:rsid w:val="00487927"/>
    <w:rsid w:val="004917EB"/>
    <w:rsid w:val="0049311C"/>
    <w:rsid w:val="00493F3C"/>
    <w:rsid w:val="004A2EB6"/>
    <w:rsid w:val="004A5B02"/>
    <w:rsid w:val="004A5D4E"/>
    <w:rsid w:val="004B0061"/>
    <w:rsid w:val="004B2D94"/>
    <w:rsid w:val="004B378C"/>
    <w:rsid w:val="004C4F71"/>
    <w:rsid w:val="004C7602"/>
    <w:rsid w:val="004C77D8"/>
    <w:rsid w:val="004D23F6"/>
    <w:rsid w:val="004D32F8"/>
    <w:rsid w:val="004D3808"/>
    <w:rsid w:val="004D38D1"/>
    <w:rsid w:val="004D3A8D"/>
    <w:rsid w:val="004D44C6"/>
    <w:rsid w:val="004E07BC"/>
    <w:rsid w:val="004E1B5A"/>
    <w:rsid w:val="004E1C45"/>
    <w:rsid w:val="004E4071"/>
    <w:rsid w:val="004E44D0"/>
    <w:rsid w:val="004F16D8"/>
    <w:rsid w:val="004F1E6E"/>
    <w:rsid w:val="004F69FC"/>
    <w:rsid w:val="004F7B22"/>
    <w:rsid w:val="004F7B34"/>
    <w:rsid w:val="00500F60"/>
    <w:rsid w:val="005034C3"/>
    <w:rsid w:val="00504D81"/>
    <w:rsid w:val="0050539A"/>
    <w:rsid w:val="00512168"/>
    <w:rsid w:val="00514207"/>
    <w:rsid w:val="00516F2B"/>
    <w:rsid w:val="00521A7F"/>
    <w:rsid w:val="0052249E"/>
    <w:rsid w:val="00530F4E"/>
    <w:rsid w:val="005422EE"/>
    <w:rsid w:val="00545F5E"/>
    <w:rsid w:val="00550860"/>
    <w:rsid w:val="005548AC"/>
    <w:rsid w:val="00554DD9"/>
    <w:rsid w:val="0057479D"/>
    <w:rsid w:val="00576E10"/>
    <w:rsid w:val="00583945"/>
    <w:rsid w:val="005857F3"/>
    <w:rsid w:val="00591C30"/>
    <w:rsid w:val="00592714"/>
    <w:rsid w:val="00594725"/>
    <w:rsid w:val="005A0444"/>
    <w:rsid w:val="005A0653"/>
    <w:rsid w:val="005A276E"/>
    <w:rsid w:val="005A2CF9"/>
    <w:rsid w:val="005A2EFA"/>
    <w:rsid w:val="005A34F7"/>
    <w:rsid w:val="005C10DC"/>
    <w:rsid w:val="005C1AA2"/>
    <w:rsid w:val="005C4002"/>
    <w:rsid w:val="005D0D9F"/>
    <w:rsid w:val="005D1B0B"/>
    <w:rsid w:val="005D4535"/>
    <w:rsid w:val="005D67B4"/>
    <w:rsid w:val="005D7230"/>
    <w:rsid w:val="005E25A5"/>
    <w:rsid w:val="005E70C2"/>
    <w:rsid w:val="005F397B"/>
    <w:rsid w:val="005F3CD8"/>
    <w:rsid w:val="005F6475"/>
    <w:rsid w:val="005F7551"/>
    <w:rsid w:val="00600060"/>
    <w:rsid w:val="00612EEB"/>
    <w:rsid w:val="00616922"/>
    <w:rsid w:val="00625489"/>
    <w:rsid w:val="00625916"/>
    <w:rsid w:val="00631ACA"/>
    <w:rsid w:val="00632ECF"/>
    <w:rsid w:val="00633096"/>
    <w:rsid w:val="00645AE3"/>
    <w:rsid w:val="00647023"/>
    <w:rsid w:val="006474AC"/>
    <w:rsid w:val="00652488"/>
    <w:rsid w:val="006529DC"/>
    <w:rsid w:val="00660043"/>
    <w:rsid w:val="00661AD6"/>
    <w:rsid w:val="006632AE"/>
    <w:rsid w:val="00664111"/>
    <w:rsid w:val="00664810"/>
    <w:rsid w:val="0067114F"/>
    <w:rsid w:val="006726D9"/>
    <w:rsid w:val="006734B1"/>
    <w:rsid w:val="00673891"/>
    <w:rsid w:val="00675118"/>
    <w:rsid w:val="00680158"/>
    <w:rsid w:val="0068372F"/>
    <w:rsid w:val="006913A9"/>
    <w:rsid w:val="00692248"/>
    <w:rsid w:val="00694269"/>
    <w:rsid w:val="00695EC2"/>
    <w:rsid w:val="006A078F"/>
    <w:rsid w:val="006A07E6"/>
    <w:rsid w:val="006A1A86"/>
    <w:rsid w:val="006A6429"/>
    <w:rsid w:val="006B30F1"/>
    <w:rsid w:val="006B486A"/>
    <w:rsid w:val="006B5F8D"/>
    <w:rsid w:val="006C15E3"/>
    <w:rsid w:val="006C44A6"/>
    <w:rsid w:val="006C4A76"/>
    <w:rsid w:val="006C6557"/>
    <w:rsid w:val="006D1205"/>
    <w:rsid w:val="006D3E81"/>
    <w:rsid w:val="006D40B9"/>
    <w:rsid w:val="006D58A2"/>
    <w:rsid w:val="006D7325"/>
    <w:rsid w:val="006E1C08"/>
    <w:rsid w:val="006E55AA"/>
    <w:rsid w:val="006E6A5C"/>
    <w:rsid w:val="006F108D"/>
    <w:rsid w:val="006F4574"/>
    <w:rsid w:val="00700A06"/>
    <w:rsid w:val="00701A90"/>
    <w:rsid w:val="007036FF"/>
    <w:rsid w:val="00704C66"/>
    <w:rsid w:val="00705923"/>
    <w:rsid w:val="00711A79"/>
    <w:rsid w:val="007209B7"/>
    <w:rsid w:val="00722596"/>
    <w:rsid w:val="00723837"/>
    <w:rsid w:val="00723EBC"/>
    <w:rsid w:val="007257DB"/>
    <w:rsid w:val="0072676E"/>
    <w:rsid w:val="00727D1F"/>
    <w:rsid w:val="00736136"/>
    <w:rsid w:val="007366E7"/>
    <w:rsid w:val="007375DC"/>
    <w:rsid w:val="00745D7A"/>
    <w:rsid w:val="00745E5A"/>
    <w:rsid w:val="00746D06"/>
    <w:rsid w:val="00747A01"/>
    <w:rsid w:val="0075177C"/>
    <w:rsid w:val="007534CF"/>
    <w:rsid w:val="00756C39"/>
    <w:rsid w:val="00756F89"/>
    <w:rsid w:val="00770055"/>
    <w:rsid w:val="00776762"/>
    <w:rsid w:val="00777033"/>
    <w:rsid w:val="00781419"/>
    <w:rsid w:val="007830D3"/>
    <w:rsid w:val="0078376C"/>
    <w:rsid w:val="0078443A"/>
    <w:rsid w:val="00787FA6"/>
    <w:rsid w:val="007911E7"/>
    <w:rsid w:val="007934BC"/>
    <w:rsid w:val="007940C6"/>
    <w:rsid w:val="007A7448"/>
    <w:rsid w:val="007A7AB0"/>
    <w:rsid w:val="007A7CD6"/>
    <w:rsid w:val="007B7955"/>
    <w:rsid w:val="007B7984"/>
    <w:rsid w:val="007C120B"/>
    <w:rsid w:val="007D3A47"/>
    <w:rsid w:val="007E13DE"/>
    <w:rsid w:val="007E1903"/>
    <w:rsid w:val="007E5430"/>
    <w:rsid w:val="007E5FE9"/>
    <w:rsid w:val="007E755F"/>
    <w:rsid w:val="007F05D8"/>
    <w:rsid w:val="007F159F"/>
    <w:rsid w:val="007F2477"/>
    <w:rsid w:val="007F510B"/>
    <w:rsid w:val="007F6745"/>
    <w:rsid w:val="00806DCF"/>
    <w:rsid w:val="008120BA"/>
    <w:rsid w:val="00813B98"/>
    <w:rsid w:val="008162F3"/>
    <w:rsid w:val="00820762"/>
    <w:rsid w:val="008209BC"/>
    <w:rsid w:val="0082290E"/>
    <w:rsid w:val="0082342B"/>
    <w:rsid w:val="00825B6D"/>
    <w:rsid w:val="0082699F"/>
    <w:rsid w:val="0082735A"/>
    <w:rsid w:val="008301B1"/>
    <w:rsid w:val="008324DA"/>
    <w:rsid w:val="008331FE"/>
    <w:rsid w:val="00837318"/>
    <w:rsid w:val="00837624"/>
    <w:rsid w:val="00837DE1"/>
    <w:rsid w:val="008403EB"/>
    <w:rsid w:val="00842559"/>
    <w:rsid w:val="00843999"/>
    <w:rsid w:val="00843B6A"/>
    <w:rsid w:val="00844E03"/>
    <w:rsid w:val="00845497"/>
    <w:rsid w:val="008540EB"/>
    <w:rsid w:val="00854AD5"/>
    <w:rsid w:val="008579DC"/>
    <w:rsid w:val="0086160A"/>
    <w:rsid w:val="008624D8"/>
    <w:rsid w:val="00866E67"/>
    <w:rsid w:val="00872CFE"/>
    <w:rsid w:val="00873C0A"/>
    <w:rsid w:val="0087728B"/>
    <w:rsid w:val="00877F18"/>
    <w:rsid w:val="00890353"/>
    <w:rsid w:val="008926CB"/>
    <w:rsid w:val="008946E1"/>
    <w:rsid w:val="00894EF5"/>
    <w:rsid w:val="00895375"/>
    <w:rsid w:val="00895A07"/>
    <w:rsid w:val="00896C2B"/>
    <w:rsid w:val="008A00DB"/>
    <w:rsid w:val="008A3AB9"/>
    <w:rsid w:val="008A4834"/>
    <w:rsid w:val="008A636D"/>
    <w:rsid w:val="008B14B2"/>
    <w:rsid w:val="008B2117"/>
    <w:rsid w:val="008B54A2"/>
    <w:rsid w:val="008B6DCD"/>
    <w:rsid w:val="008C2056"/>
    <w:rsid w:val="008C287C"/>
    <w:rsid w:val="008C3E1B"/>
    <w:rsid w:val="008D1C22"/>
    <w:rsid w:val="008D2582"/>
    <w:rsid w:val="008D55A8"/>
    <w:rsid w:val="008D5E31"/>
    <w:rsid w:val="008E1AF3"/>
    <w:rsid w:val="008E237E"/>
    <w:rsid w:val="008E288E"/>
    <w:rsid w:val="008E2AA7"/>
    <w:rsid w:val="008E317C"/>
    <w:rsid w:val="008E6CC1"/>
    <w:rsid w:val="008F0EB7"/>
    <w:rsid w:val="008F56D6"/>
    <w:rsid w:val="008F6298"/>
    <w:rsid w:val="009037FF"/>
    <w:rsid w:val="00903D64"/>
    <w:rsid w:val="00905880"/>
    <w:rsid w:val="00906508"/>
    <w:rsid w:val="00906FA9"/>
    <w:rsid w:val="00907001"/>
    <w:rsid w:val="00907DAB"/>
    <w:rsid w:val="009107D5"/>
    <w:rsid w:val="00911A55"/>
    <w:rsid w:val="00916A56"/>
    <w:rsid w:val="00917B10"/>
    <w:rsid w:val="00922490"/>
    <w:rsid w:val="00924545"/>
    <w:rsid w:val="0092490D"/>
    <w:rsid w:val="00926F71"/>
    <w:rsid w:val="009270C1"/>
    <w:rsid w:val="00927186"/>
    <w:rsid w:val="0093213D"/>
    <w:rsid w:val="009323AE"/>
    <w:rsid w:val="00944115"/>
    <w:rsid w:val="00944730"/>
    <w:rsid w:val="00946088"/>
    <w:rsid w:val="0094705D"/>
    <w:rsid w:val="00970C54"/>
    <w:rsid w:val="00976993"/>
    <w:rsid w:val="009829E1"/>
    <w:rsid w:val="00983089"/>
    <w:rsid w:val="0098444A"/>
    <w:rsid w:val="00990010"/>
    <w:rsid w:val="00992062"/>
    <w:rsid w:val="00992FA9"/>
    <w:rsid w:val="0099323F"/>
    <w:rsid w:val="00995EEA"/>
    <w:rsid w:val="00996D13"/>
    <w:rsid w:val="009A08B6"/>
    <w:rsid w:val="009A2D02"/>
    <w:rsid w:val="009A3BAB"/>
    <w:rsid w:val="009B04F7"/>
    <w:rsid w:val="009B2C1B"/>
    <w:rsid w:val="009B3CB9"/>
    <w:rsid w:val="009C18FE"/>
    <w:rsid w:val="009C21F5"/>
    <w:rsid w:val="009C3903"/>
    <w:rsid w:val="009C6132"/>
    <w:rsid w:val="009C7D5D"/>
    <w:rsid w:val="009D043C"/>
    <w:rsid w:val="009D04B4"/>
    <w:rsid w:val="009D16D2"/>
    <w:rsid w:val="009D2428"/>
    <w:rsid w:val="009D273A"/>
    <w:rsid w:val="009D2FBD"/>
    <w:rsid w:val="009E0138"/>
    <w:rsid w:val="009F08BF"/>
    <w:rsid w:val="009F1021"/>
    <w:rsid w:val="009F212E"/>
    <w:rsid w:val="009F3BCC"/>
    <w:rsid w:val="009F43A3"/>
    <w:rsid w:val="009F66A5"/>
    <w:rsid w:val="009F6D75"/>
    <w:rsid w:val="009F7D82"/>
    <w:rsid w:val="00A043AB"/>
    <w:rsid w:val="00A0616B"/>
    <w:rsid w:val="00A0716B"/>
    <w:rsid w:val="00A10AE6"/>
    <w:rsid w:val="00A1504F"/>
    <w:rsid w:val="00A15A0E"/>
    <w:rsid w:val="00A17E34"/>
    <w:rsid w:val="00A26095"/>
    <w:rsid w:val="00A30F74"/>
    <w:rsid w:val="00A31A69"/>
    <w:rsid w:val="00A41ECB"/>
    <w:rsid w:val="00A44AFF"/>
    <w:rsid w:val="00A459F9"/>
    <w:rsid w:val="00A464CB"/>
    <w:rsid w:val="00A475C9"/>
    <w:rsid w:val="00A50671"/>
    <w:rsid w:val="00A529B2"/>
    <w:rsid w:val="00A53302"/>
    <w:rsid w:val="00A563D4"/>
    <w:rsid w:val="00A56F05"/>
    <w:rsid w:val="00A62068"/>
    <w:rsid w:val="00A65181"/>
    <w:rsid w:val="00A668DC"/>
    <w:rsid w:val="00A66D70"/>
    <w:rsid w:val="00A71E26"/>
    <w:rsid w:val="00A740D2"/>
    <w:rsid w:val="00A762CB"/>
    <w:rsid w:val="00A77FF6"/>
    <w:rsid w:val="00A875EF"/>
    <w:rsid w:val="00A87C3C"/>
    <w:rsid w:val="00A903C5"/>
    <w:rsid w:val="00A929EE"/>
    <w:rsid w:val="00A94952"/>
    <w:rsid w:val="00AA03AF"/>
    <w:rsid w:val="00AA1077"/>
    <w:rsid w:val="00AA4112"/>
    <w:rsid w:val="00AA7FC4"/>
    <w:rsid w:val="00AC1341"/>
    <w:rsid w:val="00AC26AD"/>
    <w:rsid w:val="00AC3AF3"/>
    <w:rsid w:val="00AC481D"/>
    <w:rsid w:val="00AC5081"/>
    <w:rsid w:val="00AD2037"/>
    <w:rsid w:val="00AD2EEB"/>
    <w:rsid w:val="00AD2F5F"/>
    <w:rsid w:val="00AD31A6"/>
    <w:rsid w:val="00AE0220"/>
    <w:rsid w:val="00AE4AE5"/>
    <w:rsid w:val="00AF2BA2"/>
    <w:rsid w:val="00AF3671"/>
    <w:rsid w:val="00B06F0A"/>
    <w:rsid w:val="00B0769C"/>
    <w:rsid w:val="00B128C8"/>
    <w:rsid w:val="00B13D51"/>
    <w:rsid w:val="00B147DC"/>
    <w:rsid w:val="00B21FBF"/>
    <w:rsid w:val="00B43C56"/>
    <w:rsid w:val="00B6135D"/>
    <w:rsid w:val="00B65ECC"/>
    <w:rsid w:val="00B65ED2"/>
    <w:rsid w:val="00B75A77"/>
    <w:rsid w:val="00B77389"/>
    <w:rsid w:val="00B8323F"/>
    <w:rsid w:val="00B91043"/>
    <w:rsid w:val="00B9565D"/>
    <w:rsid w:val="00B97772"/>
    <w:rsid w:val="00BA0E41"/>
    <w:rsid w:val="00BA1428"/>
    <w:rsid w:val="00BA2F6C"/>
    <w:rsid w:val="00BA69A8"/>
    <w:rsid w:val="00BB3D7F"/>
    <w:rsid w:val="00BB4EBD"/>
    <w:rsid w:val="00BB56BA"/>
    <w:rsid w:val="00BC65EB"/>
    <w:rsid w:val="00BD01DA"/>
    <w:rsid w:val="00BD0AA0"/>
    <w:rsid w:val="00BD1403"/>
    <w:rsid w:val="00BD4718"/>
    <w:rsid w:val="00BD57CE"/>
    <w:rsid w:val="00BE13BC"/>
    <w:rsid w:val="00BE3E2D"/>
    <w:rsid w:val="00BE65EE"/>
    <w:rsid w:val="00BF2008"/>
    <w:rsid w:val="00BF5493"/>
    <w:rsid w:val="00BF6CCD"/>
    <w:rsid w:val="00C02425"/>
    <w:rsid w:val="00C04541"/>
    <w:rsid w:val="00C123E3"/>
    <w:rsid w:val="00C13827"/>
    <w:rsid w:val="00C13CC3"/>
    <w:rsid w:val="00C14AAD"/>
    <w:rsid w:val="00C14AF2"/>
    <w:rsid w:val="00C179D6"/>
    <w:rsid w:val="00C214B3"/>
    <w:rsid w:val="00C228F0"/>
    <w:rsid w:val="00C23EB8"/>
    <w:rsid w:val="00C26A38"/>
    <w:rsid w:val="00C340ED"/>
    <w:rsid w:val="00C3466A"/>
    <w:rsid w:val="00C37023"/>
    <w:rsid w:val="00C4428B"/>
    <w:rsid w:val="00C51BCE"/>
    <w:rsid w:val="00C534D5"/>
    <w:rsid w:val="00C5718E"/>
    <w:rsid w:val="00C609BD"/>
    <w:rsid w:val="00C60F3C"/>
    <w:rsid w:val="00C64C59"/>
    <w:rsid w:val="00C72AC9"/>
    <w:rsid w:val="00C777A6"/>
    <w:rsid w:val="00C91587"/>
    <w:rsid w:val="00C94991"/>
    <w:rsid w:val="00CA4CA8"/>
    <w:rsid w:val="00CA6D04"/>
    <w:rsid w:val="00CB2A69"/>
    <w:rsid w:val="00CB2EFD"/>
    <w:rsid w:val="00CB74C6"/>
    <w:rsid w:val="00CB7E29"/>
    <w:rsid w:val="00CC01A0"/>
    <w:rsid w:val="00CC6F45"/>
    <w:rsid w:val="00CD0AE6"/>
    <w:rsid w:val="00CD17C5"/>
    <w:rsid w:val="00CD46C4"/>
    <w:rsid w:val="00CD5676"/>
    <w:rsid w:val="00CD653B"/>
    <w:rsid w:val="00CE31D8"/>
    <w:rsid w:val="00CE3EA0"/>
    <w:rsid w:val="00CF2213"/>
    <w:rsid w:val="00CF55E0"/>
    <w:rsid w:val="00D063DE"/>
    <w:rsid w:val="00D070E7"/>
    <w:rsid w:val="00D1080A"/>
    <w:rsid w:val="00D12D2B"/>
    <w:rsid w:val="00D14E50"/>
    <w:rsid w:val="00D16607"/>
    <w:rsid w:val="00D248A2"/>
    <w:rsid w:val="00D30068"/>
    <w:rsid w:val="00D41B31"/>
    <w:rsid w:val="00D4332F"/>
    <w:rsid w:val="00D469D0"/>
    <w:rsid w:val="00D5297F"/>
    <w:rsid w:val="00D5463B"/>
    <w:rsid w:val="00D57FE0"/>
    <w:rsid w:val="00D61C5E"/>
    <w:rsid w:val="00D62DFF"/>
    <w:rsid w:val="00D7177B"/>
    <w:rsid w:val="00D75A21"/>
    <w:rsid w:val="00D75C85"/>
    <w:rsid w:val="00D817A7"/>
    <w:rsid w:val="00D8466D"/>
    <w:rsid w:val="00D86235"/>
    <w:rsid w:val="00D90A16"/>
    <w:rsid w:val="00D94DFB"/>
    <w:rsid w:val="00D95D63"/>
    <w:rsid w:val="00DA01D8"/>
    <w:rsid w:val="00DA144D"/>
    <w:rsid w:val="00DA1738"/>
    <w:rsid w:val="00DB1208"/>
    <w:rsid w:val="00DB68DB"/>
    <w:rsid w:val="00DB73B2"/>
    <w:rsid w:val="00DC0FFB"/>
    <w:rsid w:val="00DC7BC5"/>
    <w:rsid w:val="00DC7DAF"/>
    <w:rsid w:val="00DD07E5"/>
    <w:rsid w:val="00DD0CEA"/>
    <w:rsid w:val="00DF17BC"/>
    <w:rsid w:val="00DF524C"/>
    <w:rsid w:val="00DF6848"/>
    <w:rsid w:val="00DF6C1B"/>
    <w:rsid w:val="00DF791C"/>
    <w:rsid w:val="00E002D1"/>
    <w:rsid w:val="00E02572"/>
    <w:rsid w:val="00E029E4"/>
    <w:rsid w:val="00E042FF"/>
    <w:rsid w:val="00E0570A"/>
    <w:rsid w:val="00E1199B"/>
    <w:rsid w:val="00E134C5"/>
    <w:rsid w:val="00E15007"/>
    <w:rsid w:val="00E15102"/>
    <w:rsid w:val="00E151B4"/>
    <w:rsid w:val="00E152AA"/>
    <w:rsid w:val="00E15736"/>
    <w:rsid w:val="00E22BEE"/>
    <w:rsid w:val="00E25100"/>
    <w:rsid w:val="00E26E30"/>
    <w:rsid w:val="00E32F8A"/>
    <w:rsid w:val="00E344D6"/>
    <w:rsid w:val="00E3472C"/>
    <w:rsid w:val="00E350A3"/>
    <w:rsid w:val="00E35990"/>
    <w:rsid w:val="00E367BD"/>
    <w:rsid w:val="00E50ACA"/>
    <w:rsid w:val="00E52D9D"/>
    <w:rsid w:val="00E55914"/>
    <w:rsid w:val="00E64B23"/>
    <w:rsid w:val="00E64D8D"/>
    <w:rsid w:val="00E756DA"/>
    <w:rsid w:val="00E7663F"/>
    <w:rsid w:val="00E86194"/>
    <w:rsid w:val="00E9174E"/>
    <w:rsid w:val="00EA56C9"/>
    <w:rsid w:val="00EA71B3"/>
    <w:rsid w:val="00EA7F64"/>
    <w:rsid w:val="00EB4B84"/>
    <w:rsid w:val="00EB4ED8"/>
    <w:rsid w:val="00EB6262"/>
    <w:rsid w:val="00EC1FF5"/>
    <w:rsid w:val="00EC4076"/>
    <w:rsid w:val="00EC59D8"/>
    <w:rsid w:val="00EC6771"/>
    <w:rsid w:val="00ED0DAE"/>
    <w:rsid w:val="00EE486F"/>
    <w:rsid w:val="00EE54D4"/>
    <w:rsid w:val="00EE6AA0"/>
    <w:rsid w:val="00EF0E5F"/>
    <w:rsid w:val="00EF0FE0"/>
    <w:rsid w:val="00EF3A32"/>
    <w:rsid w:val="00F05DF7"/>
    <w:rsid w:val="00F1726B"/>
    <w:rsid w:val="00F2001E"/>
    <w:rsid w:val="00F203AD"/>
    <w:rsid w:val="00F2172C"/>
    <w:rsid w:val="00F249AE"/>
    <w:rsid w:val="00F30AED"/>
    <w:rsid w:val="00F36F05"/>
    <w:rsid w:val="00F370D4"/>
    <w:rsid w:val="00F450CE"/>
    <w:rsid w:val="00F4763B"/>
    <w:rsid w:val="00F51C71"/>
    <w:rsid w:val="00F55551"/>
    <w:rsid w:val="00F57029"/>
    <w:rsid w:val="00F60F1C"/>
    <w:rsid w:val="00F618B3"/>
    <w:rsid w:val="00F63C78"/>
    <w:rsid w:val="00F65ED6"/>
    <w:rsid w:val="00F72784"/>
    <w:rsid w:val="00F74006"/>
    <w:rsid w:val="00F75DF2"/>
    <w:rsid w:val="00F77D43"/>
    <w:rsid w:val="00F80267"/>
    <w:rsid w:val="00F8080A"/>
    <w:rsid w:val="00F907D1"/>
    <w:rsid w:val="00F91F59"/>
    <w:rsid w:val="00F94053"/>
    <w:rsid w:val="00F967EB"/>
    <w:rsid w:val="00F97373"/>
    <w:rsid w:val="00FA6A84"/>
    <w:rsid w:val="00FB188D"/>
    <w:rsid w:val="00FB4662"/>
    <w:rsid w:val="00FB5321"/>
    <w:rsid w:val="00FB5CD7"/>
    <w:rsid w:val="00FB5E35"/>
    <w:rsid w:val="00FB6B6B"/>
    <w:rsid w:val="00FB7BF0"/>
    <w:rsid w:val="00FC2D99"/>
    <w:rsid w:val="00FC3997"/>
    <w:rsid w:val="00FC599A"/>
    <w:rsid w:val="00FC5EFD"/>
    <w:rsid w:val="00FC6008"/>
    <w:rsid w:val="00FC724F"/>
    <w:rsid w:val="00FD7221"/>
    <w:rsid w:val="00FE25D0"/>
    <w:rsid w:val="00FE36C6"/>
    <w:rsid w:val="00FF1B28"/>
    <w:rsid w:val="00FF65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9F51B20"/>
  <w15:docId w15:val="{CDE2C174-D1AE-4F1A-9763-31E188E1B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30F1"/>
    <w:pPr>
      <w:spacing w:before="30" w:after="60"/>
      <w:jc w:val="both"/>
    </w:pPr>
    <w:rPr>
      <w:rFonts w:ascii="Verdana" w:eastAsia="MS Mincho" w:hAnsi="Verdana"/>
      <w:szCs w:val="24"/>
      <w:lang w:val="en-US" w:eastAsia="en-US"/>
    </w:rPr>
  </w:style>
  <w:style w:type="paragraph" w:styleId="Heading1">
    <w:name w:val="heading 1"/>
    <w:aliases w:val="Tit1,S1"/>
    <w:basedOn w:val="Normal"/>
    <w:next w:val="Normal"/>
    <w:link w:val="Heading1Char"/>
    <w:autoRedefine/>
    <w:uiPriority w:val="9"/>
    <w:qFormat/>
    <w:rsid w:val="001B5B29"/>
    <w:pPr>
      <w:keepNext/>
      <w:numPr>
        <w:numId w:val="1"/>
      </w:numPr>
      <w:spacing w:before="0" w:after="0"/>
      <w:outlineLvl w:val="0"/>
    </w:pPr>
    <w:rPr>
      <w:rFonts w:cs="Tahoma"/>
      <w:b/>
      <w:iCs/>
      <w:sz w:val="24"/>
      <w:szCs w:val="20"/>
      <w:lang w:val="en-IN" w:eastAsia="en-GB"/>
      <w14:shadow w14:blurRad="50800" w14:dist="38100" w14:dir="2700000" w14:sx="100000" w14:sy="100000" w14:kx="0" w14:ky="0" w14:algn="tl">
        <w14:srgbClr w14:val="000000">
          <w14:alpha w14:val="60000"/>
        </w14:srgbClr>
      </w14:shadow>
    </w:rPr>
  </w:style>
  <w:style w:type="paragraph" w:styleId="Heading2">
    <w:name w:val="heading 2"/>
    <w:aliases w:val="Tit2"/>
    <w:basedOn w:val="Normal"/>
    <w:next w:val="Normal"/>
    <w:link w:val="Heading2Char"/>
    <w:autoRedefine/>
    <w:uiPriority w:val="9"/>
    <w:qFormat/>
    <w:rsid w:val="00A94952"/>
    <w:pPr>
      <w:keepNext/>
      <w:numPr>
        <w:ilvl w:val="1"/>
        <w:numId w:val="1"/>
      </w:numPr>
      <w:pBdr>
        <w:bottom w:val="single" w:sz="8" w:space="0" w:color="auto"/>
      </w:pBdr>
      <w:tabs>
        <w:tab w:val="num" w:pos="720"/>
        <w:tab w:val="left" w:pos="851"/>
      </w:tabs>
      <w:spacing w:before="480" w:after="240"/>
      <w:ind w:left="720"/>
      <w:outlineLvl w:val="1"/>
    </w:pPr>
    <w:rPr>
      <w:rFonts w:cs="Tahoma"/>
      <w:b/>
      <w:bCs/>
      <w:i/>
      <w:sz w:val="24"/>
      <w:szCs w:val="28"/>
    </w:rPr>
  </w:style>
  <w:style w:type="paragraph" w:styleId="Heading3">
    <w:name w:val="heading 3"/>
    <w:basedOn w:val="Normal"/>
    <w:next w:val="Normal"/>
    <w:link w:val="Heading3Char"/>
    <w:uiPriority w:val="9"/>
    <w:qFormat/>
    <w:rsid w:val="006B30F1"/>
    <w:pPr>
      <w:keepNext/>
      <w:numPr>
        <w:ilvl w:val="2"/>
        <w:numId w:val="1"/>
      </w:numPr>
      <w:spacing w:before="120" w:after="120"/>
      <w:outlineLvl w:val="2"/>
    </w:pPr>
    <w:rPr>
      <w:rFonts w:cs="Arial"/>
      <w:b/>
      <w:szCs w:val="22"/>
    </w:rPr>
  </w:style>
  <w:style w:type="paragraph" w:styleId="Heading4">
    <w:name w:val="heading 4"/>
    <w:basedOn w:val="Normal"/>
    <w:next w:val="Normal"/>
    <w:link w:val="Heading4Char"/>
    <w:uiPriority w:val="9"/>
    <w:qFormat/>
    <w:rsid w:val="006B30F1"/>
    <w:pPr>
      <w:keepNext/>
      <w:numPr>
        <w:ilvl w:val="3"/>
        <w:numId w:val="1"/>
      </w:numPr>
      <w:tabs>
        <w:tab w:val="left" w:pos="851"/>
      </w:tabs>
      <w:spacing w:before="240"/>
      <w:outlineLvl w:val="3"/>
    </w:pPr>
    <w:rPr>
      <w:rFonts w:cs="Tahoma"/>
      <w:bCs/>
      <w:iCs/>
      <w:szCs w:val="28"/>
    </w:rPr>
  </w:style>
  <w:style w:type="paragraph" w:styleId="Heading5">
    <w:name w:val="heading 5"/>
    <w:basedOn w:val="Normal"/>
    <w:next w:val="Normal"/>
    <w:link w:val="Heading5Char"/>
    <w:uiPriority w:val="9"/>
    <w:qFormat/>
    <w:rsid w:val="006B30F1"/>
    <w:pPr>
      <w:numPr>
        <w:ilvl w:val="4"/>
        <w:numId w:val="1"/>
      </w:numPr>
      <w:spacing w:before="240"/>
      <w:outlineLvl w:val="4"/>
    </w:pPr>
    <w:rPr>
      <w:szCs w:val="26"/>
    </w:rPr>
  </w:style>
  <w:style w:type="paragraph" w:styleId="Heading6">
    <w:name w:val="heading 6"/>
    <w:basedOn w:val="Normal"/>
    <w:next w:val="Normal"/>
    <w:link w:val="Heading6Char"/>
    <w:uiPriority w:val="9"/>
    <w:qFormat/>
    <w:rsid w:val="006B30F1"/>
    <w:pPr>
      <w:numPr>
        <w:ilvl w:val="5"/>
        <w:numId w:val="1"/>
      </w:numPr>
      <w:spacing w:before="240"/>
      <w:outlineLvl w:val="5"/>
    </w:pPr>
    <w:rPr>
      <w:rFonts w:cs="Tahoma"/>
      <w:szCs w:val="22"/>
    </w:rPr>
  </w:style>
  <w:style w:type="paragraph" w:styleId="Heading7">
    <w:name w:val="heading 7"/>
    <w:basedOn w:val="Normal"/>
    <w:next w:val="Normal"/>
    <w:link w:val="Heading7Char"/>
    <w:uiPriority w:val="9"/>
    <w:qFormat/>
    <w:rsid w:val="006B30F1"/>
    <w:pPr>
      <w:numPr>
        <w:ilvl w:val="6"/>
        <w:numId w:val="1"/>
      </w:numPr>
      <w:spacing w:before="240"/>
      <w:outlineLvl w:val="6"/>
    </w:pPr>
    <w:rPr>
      <w:rFonts w:cs="Tahoma"/>
    </w:rPr>
  </w:style>
  <w:style w:type="paragraph" w:styleId="Heading8">
    <w:name w:val="heading 8"/>
    <w:basedOn w:val="Normal"/>
    <w:next w:val="Normal"/>
    <w:link w:val="Heading8Char"/>
    <w:uiPriority w:val="9"/>
    <w:qFormat/>
    <w:rsid w:val="006B30F1"/>
    <w:pPr>
      <w:numPr>
        <w:ilvl w:val="7"/>
        <w:numId w:val="1"/>
      </w:numPr>
      <w:spacing w:before="240"/>
      <w:outlineLvl w:val="7"/>
    </w:pPr>
    <w:rPr>
      <w:rFonts w:cs="Tahoma"/>
    </w:rPr>
  </w:style>
  <w:style w:type="paragraph" w:styleId="Heading9">
    <w:name w:val="heading 9"/>
    <w:basedOn w:val="Normal"/>
    <w:next w:val="Normal"/>
    <w:link w:val="Heading9Char"/>
    <w:uiPriority w:val="9"/>
    <w:qFormat/>
    <w:rsid w:val="006B30F1"/>
    <w:pPr>
      <w:numPr>
        <w:ilvl w:val="8"/>
        <w:numId w:val="1"/>
      </w:numPr>
      <w:spacing w:before="240"/>
      <w:outlineLvl w:val="8"/>
    </w:pPr>
    <w:rPr>
      <w:rFonts w:cs="Tahoma"/>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t1 Char,S1 Char"/>
    <w:basedOn w:val="DefaultParagraphFont"/>
    <w:link w:val="Heading1"/>
    <w:uiPriority w:val="9"/>
    <w:rsid w:val="001B5B29"/>
    <w:rPr>
      <w:rFonts w:ascii="Verdana" w:eastAsia="MS Mincho" w:hAnsi="Verdana" w:cs="Tahoma"/>
      <w:b/>
      <w:iCs/>
      <w:sz w:val="24"/>
      <w:lang w:eastAsia="en-GB"/>
      <w14:shadow w14:blurRad="50800" w14:dist="38100" w14:dir="2700000" w14:sx="100000" w14:sy="100000" w14:kx="0" w14:ky="0" w14:algn="tl">
        <w14:srgbClr w14:val="000000">
          <w14:alpha w14:val="60000"/>
        </w14:srgbClr>
      </w14:shadow>
    </w:rPr>
  </w:style>
  <w:style w:type="character" w:customStyle="1" w:styleId="Heading2Char">
    <w:name w:val="Heading 2 Char"/>
    <w:aliases w:val="Tit2 Char"/>
    <w:basedOn w:val="DefaultParagraphFont"/>
    <w:link w:val="Heading2"/>
    <w:uiPriority w:val="9"/>
    <w:rsid w:val="001B5868"/>
    <w:rPr>
      <w:rFonts w:ascii="Verdana" w:eastAsia="MS Mincho" w:hAnsi="Verdana" w:cs="Tahoma"/>
      <w:b/>
      <w:bCs/>
      <w:i/>
      <w:sz w:val="24"/>
      <w:szCs w:val="28"/>
      <w:lang w:val="en-US" w:eastAsia="en-US"/>
    </w:rPr>
  </w:style>
  <w:style w:type="character" w:customStyle="1" w:styleId="Heading3Char">
    <w:name w:val="Heading 3 Char"/>
    <w:basedOn w:val="DefaultParagraphFont"/>
    <w:link w:val="Heading3"/>
    <w:uiPriority w:val="9"/>
    <w:rsid w:val="001B5868"/>
    <w:rPr>
      <w:rFonts w:ascii="Verdana" w:eastAsia="MS Mincho" w:hAnsi="Verdana" w:cs="Arial"/>
      <w:b/>
      <w:szCs w:val="22"/>
      <w:lang w:val="en-US" w:eastAsia="en-US"/>
    </w:rPr>
  </w:style>
  <w:style w:type="character" w:customStyle="1" w:styleId="Heading4Char">
    <w:name w:val="Heading 4 Char"/>
    <w:basedOn w:val="DefaultParagraphFont"/>
    <w:link w:val="Heading4"/>
    <w:uiPriority w:val="9"/>
    <w:rsid w:val="001B5868"/>
    <w:rPr>
      <w:rFonts w:ascii="Verdana" w:eastAsia="MS Mincho" w:hAnsi="Verdana" w:cs="Tahoma"/>
      <w:bCs/>
      <w:iCs/>
      <w:szCs w:val="28"/>
      <w:lang w:val="en-US" w:eastAsia="en-US"/>
    </w:rPr>
  </w:style>
  <w:style w:type="character" w:customStyle="1" w:styleId="Heading5Char">
    <w:name w:val="Heading 5 Char"/>
    <w:basedOn w:val="DefaultParagraphFont"/>
    <w:link w:val="Heading5"/>
    <w:uiPriority w:val="9"/>
    <w:rsid w:val="001B5868"/>
    <w:rPr>
      <w:rFonts w:ascii="Verdana" w:eastAsia="MS Mincho" w:hAnsi="Verdana"/>
      <w:szCs w:val="26"/>
      <w:lang w:val="en-US" w:eastAsia="en-US"/>
    </w:rPr>
  </w:style>
  <w:style w:type="character" w:customStyle="1" w:styleId="Heading6Char">
    <w:name w:val="Heading 6 Char"/>
    <w:basedOn w:val="DefaultParagraphFont"/>
    <w:link w:val="Heading6"/>
    <w:uiPriority w:val="9"/>
    <w:rsid w:val="001B5868"/>
    <w:rPr>
      <w:rFonts w:ascii="Verdana" w:eastAsia="MS Mincho" w:hAnsi="Verdana" w:cs="Tahoma"/>
      <w:szCs w:val="22"/>
      <w:lang w:val="en-US" w:eastAsia="en-US"/>
    </w:rPr>
  </w:style>
  <w:style w:type="character" w:customStyle="1" w:styleId="Heading7Char">
    <w:name w:val="Heading 7 Char"/>
    <w:basedOn w:val="DefaultParagraphFont"/>
    <w:link w:val="Heading7"/>
    <w:uiPriority w:val="9"/>
    <w:rsid w:val="001B5868"/>
    <w:rPr>
      <w:rFonts w:ascii="Verdana" w:eastAsia="MS Mincho" w:hAnsi="Verdana" w:cs="Tahoma"/>
      <w:szCs w:val="24"/>
      <w:lang w:val="en-US" w:eastAsia="en-US"/>
    </w:rPr>
  </w:style>
  <w:style w:type="character" w:customStyle="1" w:styleId="Heading8Char">
    <w:name w:val="Heading 8 Char"/>
    <w:basedOn w:val="DefaultParagraphFont"/>
    <w:link w:val="Heading8"/>
    <w:uiPriority w:val="9"/>
    <w:rsid w:val="001B5868"/>
    <w:rPr>
      <w:rFonts w:ascii="Verdana" w:eastAsia="MS Mincho" w:hAnsi="Verdana" w:cs="Tahoma"/>
      <w:szCs w:val="24"/>
      <w:lang w:val="en-US" w:eastAsia="en-US"/>
    </w:rPr>
  </w:style>
  <w:style w:type="character" w:customStyle="1" w:styleId="Heading9Char">
    <w:name w:val="Heading 9 Char"/>
    <w:basedOn w:val="DefaultParagraphFont"/>
    <w:link w:val="Heading9"/>
    <w:uiPriority w:val="9"/>
    <w:rsid w:val="001B5868"/>
    <w:rPr>
      <w:rFonts w:ascii="Verdana" w:eastAsia="MS Mincho" w:hAnsi="Verdana" w:cs="Tahoma"/>
      <w:szCs w:val="22"/>
      <w:lang w:val="en-US" w:eastAsia="en-US"/>
    </w:rPr>
  </w:style>
  <w:style w:type="paragraph" w:styleId="Header">
    <w:name w:val="header"/>
    <w:basedOn w:val="Normal"/>
    <w:link w:val="HeaderChar"/>
    <w:uiPriority w:val="99"/>
    <w:rsid w:val="006B30F1"/>
    <w:pPr>
      <w:tabs>
        <w:tab w:val="center" w:pos="4320"/>
        <w:tab w:val="right" w:pos="8640"/>
      </w:tabs>
    </w:pPr>
  </w:style>
  <w:style w:type="character" w:customStyle="1" w:styleId="HeaderChar">
    <w:name w:val="Header Char"/>
    <w:basedOn w:val="DefaultParagraphFont"/>
    <w:link w:val="Header"/>
    <w:uiPriority w:val="99"/>
    <w:locked/>
    <w:rsid w:val="00756C39"/>
    <w:rPr>
      <w:rFonts w:ascii="Verdana" w:eastAsia="MS Mincho" w:hAnsi="Verdana" w:cs="Times New Roman"/>
      <w:sz w:val="24"/>
      <w:szCs w:val="24"/>
      <w:lang w:val="en-GB" w:eastAsia="en-US" w:bidi="ar-SA"/>
    </w:rPr>
  </w:style>
  <w:style w:type="paragraph" w:styleId="TOC1">
    <w:name w:val="toc 1"/>
    <w:basedOn w:val="Normal"/>
    <w:next w:val="Normal"/>
    <w:autoRedefine/>
    <w:uiPriority w:val="39"/>
    <w:rsid w:val="006B30F1"/>
    <w:pPr>
      <w:spacing w:before="120" w:after="120"/>
      <w:jc w:val="left"/>
    </w:pPr>
    <w:rPr>
      <w:rFonts w:ascii="Times New Roman" w:hAnsi="Times New Roman"/>
      <w:b/>
      <w:bCs/>
      <w:caps/>
      <w:szCs w:val="20"/>
    </w:rPr>
  </w:style>
  <w:style w:type="paragraph" w:styleId="TOC2">
    <w:name w:val="toc 2"/>
    <w:basedOn w:val="Normal"/>
    <w:next w:val="Normal"/>
    <w:autoRedefine/>
    <w:uiPriority w:val="39"/>
    <w:rsid w:val="006B30F1"/>
    <w:pPr>
      <w:spacing w:before="0" w:after="0"/>
      <w:ind w:left="200"/>
      <w:jc w:val="left"/>
    </w:pPr>
    <w:rPr>
      <w:rFonts w:ascii="Times New Roman" w:hAnsi="Times New Roman"/>
      <w:smallCaps/>
      <w:szCs w:val="20"/>
    </w:rPr>
  </w:style>
  <w:style w:type="paragraph" w:styleId="TOC3">
    <w:name w:val="toc 3"/>
    <w:basedOn w:val="Normal"/>
    <w:next w:val="Normal"/>
    <w:autoRedefine/>
    <w:uiPriority w:val="39"/>
    <w:rsid w:val="006B30F1"/>
    <w:pPr>
      <w:spacing w:before="0" w:after="0"/>
      <w:ind w:left="400"/>
      <w:jc w:val="left"/>
    </w:pPr>
    <w:rPr>
      <w:rFonts w:ascii="Times New Roman" w:hAnsi="Times New Roman"/>
      <w:i/>
      <w:iCs/>
      <w:szCs w:val="20"/>
    </w:rPr>
  </w:style>
  <w:style w:type="character" w:styleId="Hyperlink">
    <w:name w:val="Hyperlink"/>
    <w:basedOn w:val="DefaultParagraphFont"/>
    <w:uiPriority w:val="99"/>
    <w:rsid w:val="006B30F1"/>
    <w:rPr>
      <w:rFonts w:cs="Times New Roman"/>
      <w:color w:val="0000FF"/>
      <w:u w:val="single"/>
    </w:rPr>
  </w:style>
  <w:style w:type="paragraph" w:customStyle="1" w:styleId="Titre0">
    <w:name w:val="Titre 0"/>
    <w:basedOn w:val="Heading1"/>
    <w:rsid w:val="006B30F1"/>
    <w:pPr>
      <w:numPr>
        <w:numId w:val="0"/>
      </w:numPr>
      <w:outlineLvl w:val="9"/>
    </w:pPr>
  </w:style>
  <w:style w:type="paragraph" w:customStyle="1" w:styleId="EnteteTableau">
    <w:name w:val="EnteteTableau"/>
    <w:basedOn w:val="Normal"/>
    <w:next w:val="Normal"/>
    <w:rsid w:val="006B30F1"/>
    <w:pPr>
      <w:spacing w:before="120" w:after="120"/>
      <w:jc w:val="center"/>
    </w:pPr>
    <w:rPr>
      <w:b/>
      <w:sz w:val="24"/>
      <w:szCs w:val="20"/>
      <w:lang w:eastAsia="en-GB"/>
    </w:rPr>
  </w:style>
  <w:style w:type="paragraph" w:customStyle="1" w:styleId="StyleStyleCommentairesGras">
    <w:name w:val="Style Style Commentaires + Gras"/>
    <w:basedOn w:val="Normal"/>
    <w:link w:val="StyleStyleCommentairesGrasCar"/>
    <w:rsid w:val="006B30F1"/>
    <w:pPr>
      <w:pBdr>
        <w:top w:val="single" w:sz="8" w:space="1" w:color="auto"/>
        <w:left w:val="single" w:sz="36" w:space="4" w:color="auto"/>
      </w:pBdr>
      <w:shd w:val="clear" w:color="auto" w:fill="99CCFF"/>
      <w:spacing w:before="120" w:after="0"/>
      <w:ind w:left="1361" w:right="567"/>
      <w:jc w:val="left"/>
    </w:pPr>
    <w:rPr>
      <w:b/>
      <w:bCs/>
      <w:szCs w:val="20"/>
      <w:lang w:eastAsia="en-GB"/>
    </w:rPr>
  </w:style>
  <w:style w:type="character" w:styleId="CommentReference">
    <w:name w:val="annotation reference"/>
    <w:basedOn w:val="DefaultParagraphFont"/>
    <w:uiPriority w:val="99"/>
    <w:semiHidden/>
    <w:rsid w:val="006B30F1"/>
    <w:rPr>
      <w:rFonts w:cs="Times New Roman"/>
      <w:sz w:val="16"/>
      <w:szCs w:val="16"/>
    </w:rPr>
  </w:style>
  <w:style w:type="paragraph" w:styleId="CommentText">
    <w:name w:val="annotation text"/>
    <w:basedOn w:val="Normal"/>
    <w:link w:val="CommentTextChar"/>
    <w:uiPriority w:val="99"/>
    <w:semiHidden/>
    <w:rsid w:val="006B30F1"/>
    <w:rPr>
      <w:szCs w:val="20"/>
    </w:rPr>
  </w:style>
  <w:style w:type="character" w:customStyle="1" w:styleId="CommentTextChar">
    <w:name w:val="Comment Text Char"/>
    <w:basedOn w:val="DefaultParagraphFont"/>
    <w:link w:val="CommentText"/>
    <w:uiPriority w:val="99"/>
    <w:semiHidden/>
    <w:rsid w:val="001B5868"/>
    <w:rPr>
      <w:rFonts w:ascii="Verdana" w:eastAsia="MS Mincho" w:hAnsi="Verdana"/>
      <w:lang w:val="en-GB" w:eastAsia="en-US"/>
    </w:rPr>
  </w:style>
  <w:style w:type="character" w:customStyle="1" w:styleId="StyleStyleCommentairesGrasCar">
    <w:name w:val="Style Style Commentaires + Gras Car"/>
    <w:basedOn w:val="DefaultParagraphFont"/>
    <w:link w:val="StyleStyleCommentairesGras"/>
    <w:locked/>
    <w:rsid w:val="006B30F1"/>
    <w:rPr>
      <w:rFonts w:ascii="Verdana" w:eastAsia="MS Mincho" w:hAnsi="Verdana" w:cs="Times New Roman"/>
      <w:b/>
      <w:bCs/>
      <w:lang w:val="en-GB" w:eastAsia="en-GB" w:bidi="ar-SA"/>
    </w:rPr>
  </w:style>
  <w:style w:type="table" w:styleId="TableGrid">
    <w:name w:val="Table Grid"/>
    <w:basedOn w:val="TableNormal"/>
    <w:uiPriority w:val="59"/>
    <w:rsid w:val="006B30F1"/>
    <w:pPr>
      <w:spacing w:before="30" w:after="60"/>
      <w:jc w:val="both"/>
    </w:pPr>
    <w:rPr>
      <w:rFonts w:eastAsia="MS Mincho"/>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6B30F1"/>
    <w:rPr>
      <w:rFonts w:ascii="Tahoma" w:hAnsi="Tahoma" w:cs="Tahoma"/>
      <w:sz w:val="16"/>
      <w:szCs w:val="16"/>
    </w:rPr>
  </w:style>
  <w:style w:type="character" w:customStyle="1" w:styleId="BalloonTextChar">
    <w:name w:val="Balloon Text Char"/>
    <w:basedOn w:val="DefaultParagraphFont"/>
    <w:link w:val="BalloonText"/>
    <w:uiPriority w:val="99"/>
    <w:semiHidden/>
    <w:rsid w:val="001B5868"/>
    <w:rPr>
      <w:rFonts w:ascii="Tahoma" w:eastAsia="MS Mincho" w:hAnsi="Tahoma" w:cs="Tahoma"/>
      <w:sz w:val="16"/>
      <w:szCs w:val="16"/>
      <w:lang w:val="en-GB" w:eastAsia="en-US"/>
    </w:rPr>
  </w:style>
  <w:style w:type="paragraph" w:styleId="Footer">
    <w:name w:val="footer"/>
    <w:basedOn w:val="Normal"/>
    <w:link w:val="FooterChar"/>
    <w:rsid w:val="006B30F1"/>
    <w:pPr>
      <w:tabs>
        <w:tab w:val="center" w:pos="4536"/>
        <w:tab w:val="right" w:pos="9072"/>
      </w:tabs>
    </w:pPr>
  </w:style>
  <w:style w:type="character" w:customStyle="1" w:styleId="FooterChar">
    <w:name w:val="Footer Char"/>
    <w:basedOn w:val="DefaultParagraphFont"/>
    <w:link w:val="Footer"/>
    <w:rsid w:val="001B5868"/>
    <w:rPr>
      <w:rFonts w:ascii="Verdana" w:eastAsia="MS Mincho" w:hAnsi="Verdana"/>
      <w:szCs w:val="24"/>
      <w:lang w:val="en-GB" w:eastAsia="en-US"/>
    </w:rPr>
  </w:style>
  <w:style w:type="character" w:styleId="PageNumber">
    <w:name w:val="page number"/>
    <w:basedOn w:val="DefaultParagraphFont"/>
    <w:uiPriority w:val="99"/>
    <w:rsid w:val="006B30F1"/>
    <w:rPr>
      <w:rFonts w:cs="Times New Roman"/>
    </w:rPr>
  </w:style>
  <w:style w:type="paragraph" w:styleId="CommentSubject">
    <w:name w:val="annotation subject"/>
    <w:basedOn w:val="CommentText"/>
    <w:next w:val="CommentText"/>
    <w:link w:val="CommentSubjectChar"/>
    <w:uiPriority w:val="99"/>
    <w:semiHidden/>
    <w:rsid w:val="006B30F1"/>
    <w:rPr>
      <w:b/>
      <w:bCs/>
    </w:rPr>
  </w:style>
  <w:style w:type="character" w:customStyle="1" w:styleId="CommentSubjectChar">
    <w:name w:val="Comment Subject Char"/>
    <w:basedOn w:val="CommentTextChar"/>
    <w:link w:val="CommentSubject"/>
    <w:uiPriority w:val="99"/>
    <w:semiHidden/>
    <w:rsid w:val="001B5868"/>
    <w:rPr>
      <w:rFonts w:ascii="Verdana" w:eastAsia="MS Mincho" w:hAnsi="Verdana"/>
      <w:b/>
      <w:bCs/>
      <w:lang w:val="en-GB" w:eastAsia="en-US"/>
    </w:rPr>
  </w:style>
  <w:style w:type="paragraph" w:styleId="BodyText2">
    <w:name w:val="Body Text 2"/>
    <w:basedOn w:val="Normal"/>
    <w:link w:val="BodyText2Char"/>
    <w:uiPriority w:val="99"/>
    <w:rsid w:val="00F30AED"/>
    <w:rPr>
      <w:rFonts w:eastAsia="Times New Roman"/>
      <w:color w:val="3366FF"/>
    </w:rPr>
  </w:style>
  <w:style w:type="character" w:customStyle="1" w:styleId="BodyText2Char">
    <w:name w:val="Body Text 2 Char"/>
    <w:basedOn w:val="DefaultParagraphFont"/>
    <w:link w:val="BodyText2"/>
    <w:uiPriority w:val="99"/>
    <w:semiHidden/>
    <w:rsid w:val="001B5868"/>
    <w:rPr>
      <w:rFonts w:ascii="Verdana" w:eastAsia="MS Mincho" w:hAnsi="Verdana"/>
      <w:szCs w:val="24"/>
      <w:lang w:val="en-GB" w:eastAsia="en-US"/>
    </w:rPr>
  </w:style>
  <w:style w:type="paragraph" w:customStyle="1" w:styleId="Conseil">
    <w:name w:val="Conseil"/>
    <w:basedOn w:val="BodyText"/>
    <w:next w:val="Normal"/>
    <w:rsid w:val="00F30AED"/>
    <w:pPr>
      <w:pBdr>
        <w:top w:val="dotted" w:sz="4" w:space="1" w:color="auto"/>
        <w:left w:val="dotted" w:sz="4" w:space="4" w:color="auto"/>
        <w:bottom w:val="dotted" w:sz="4" w:space="1" w:color="auto"/>
        <w:right w:val="dotted" w:sz="4" w:space="4" w:color="auto"/>
      </w:pBdr>
      <w:shd w:val="clear" w:color="auto" w:fill="E6E6E6"/>
      <w:spacing w:before="0" w:after="0"/>
      <w:ind w:left="680"/>
    </w:pPr>
    <w:rPr>
      <w:rFonts w:eastAsia="Times New Roman"/>
      <w:color w:val="0000FF"/>
      <w:sz w:val="18"/>
      <w:lang w:eastAsia="en-GB"/>
    </w:rPr>
  </w:style>
  <w:style w:type="paragraph" w:styleId="BodyText">
    <w:name w:val="Body Text"/>
    <w:basedOn w:val="Normal"/>
    <w:link w:val="BodyTextChar"/>
    <w:uiPriority w:val="99"/>
    <w:rsid w:val="00F30AED"/>
    <w:pPr>
      <w:spacing w:after="120"/>
    </w:pPr>
  </w:style>
  <w:style w:type="character" w:customStyle="1" w:styleId="BodyTextChar">
    <w:name w:val="Body Text Char"/>
    <w:basedOn w:val="DefaultParagraphFont"/>
    <w:link w:val="BodyText"/>
    <w:uiPriority w:val="99"/>
    <w:semiHidden/>
    <w:rsid w:val="001B5868"/>
    <w:rPr>
      <w:rFonts w:ascii="Verdana" w:eastAsia="MS Mincho" w:hAnsi="Verdana"/>
      <w:szCs w:val="24"/>
      <w:lang w:val="en-GB" w:eastAsia="en-US"/>
    </w:rPr>
  </w:style>
  <w:style w:type="paragraph" w:customStyle="1" w:styleId="TEXTE1">
    <w:name w:val="TEXTE1"/>
    <w:basedOn w:val="Normal"/>
    <w:autoRedefine/>
    <w:rsid w:val="0082342B"/>
    <w:pPr>
      <w:spacing w:before="120" w:line="288" w:lineRule="auto"/>
      <w:ind w:left="-6"/>
    </w:pPr>
    <w:rPr>
      <w:rFonts w:eastAsia="Times New Roman"/>
      <w:szCs w:val="20"/>
    </w:rPr>
  </w:style>
  <w:style w:type="paragraph" w:customStyle="1" w:styleId="StyleTitre3Soulignement">
    <w:name w:val="Style Titre 3 + Soulignement"/>
    <w:basedOn w:val="Heading3"/>
    <w:rsid w:val="0082342B"/>
    <w:pPr>
      <w:numPr>
        <w:ilvl w:val="0"/>
        <w:numId w:val="0"/>
      </w:numPr>
      <w:tabs>
        <w:tab w:val="left" w:pos="900"/>
        <w:tab w:val="num" w:pos="1040"/>
      </w:tabs>
      <w:spacing w:before="240" w:after="240"/>
      <w:ind w:left="824" w:hanging="824"/>
    </w:pPr>
    <w:rPr>
      <w:rFonts w:eastAsia="Times New Roman" w:cs="Times New Roman"/>
      <w:b w:val="0"/>
      <w:szCs w:val="20"/>
      <w:u w:val="single"/>
    </w:rPr>
  </w:style>
  <w:style w:type="paragraph" w:customStyle="1" w:styleId="MMFelixT4">
    <w:name w:val="MM Felix T4"/>
    <w:basedOn w:val="Normal"/>
    <w:rsid w:val="0082342B"/>
    <w:pPr>
      <w:tabs>
        <w:tab w:val="num" w:pos="1760"/>
      </w:tabs>
      <w:spacing w:line="360" w:lineRule="auto"/>
      <w:ind w:left="1328" w:hanging="1328"/>
    </w:pPr>
    <w:rPr>
      <w:rFonts w:eastAsia="Times New Roman"/>
      <w:sz w:val="18"/>
    </w:rPr>
  </w:style>
  <w:style w:type="paragraph" w:styleId="TOC4">
    <w:name w:val="toc 4"/>
    <w:basedOn w:val="Normal"/>
    <w:next w:val="Normal"/>
    <w:autoRedefine/>
    <w:uiPriority w:val="39"/>
    <w:semiHidden/>
    <w:rsid w:val="00701A90"/>
    <w:pPr>
      <w:spacing w:before="0" w:after="0"/>
      <w:ind w:left="600"/>
      <w:jc w:val="left"/>
    </w:pPr>
    <w:rPr>
      <w:rFonts w:ascii="Times New Roman" w:hAnsi="Times New Roman"/>
      <w:sz w:val="18"/>
      <w:szCs w:val="18"/>
    </w:rPr>
  </w:style>
  <w:style w:type="paragraph" w:styleId="TOC5">
    <w:name w:val="toc 5"/>
    <w:basedOn w:val="Normal"/>
    <w:next w:val="Normal"/>
    <w:autoRedefine/>
    <w:uiPriority w:val="39"/>
    <w:semiHidden/>
    <w:rsid w:val="00701A90"/>
    <w:pPr>
      <w:spacing w:before="0" w:after="0"/>
      <w:ind w:left="800"/>
      <w:jc w:val="left"/>
    </w:pPr>
    <w:rPr>
      <w:rFonts w:ascii="Times New Roman" w:hAnsi="Times New Roman"/>
      <w:sz w:val="18"/>
      <w:szCs w:val="18"/>
    </w:rPr>
  </w:style>
  <w:style w:type="paragraph" w:styleId="TOC6">
    <w:name w:val="toc 6"/>
    <w:basedOn w:val="Normal"/>
    <w:next w:val="Normal"/>
    <w:autoRedefine/>
    <w:uiPriority w:val="39"/>
    <w:semiHidden/>
    <w:rsid w:val="00701A90"/>
    <w:pPr>
      <w:spacing w:before="0" w:after="0"/>
      <w:ind w:left="1000"/>
      <w:jc w:val="left"/>
    </w:pPr>
    <w:rPr>
      <w:rFonts w:ascii="Times New Roman" w:hAnsi="Times New Roman"/>
      <w:sz w:val="18"/>
      <w:szCs w:val="18"/>
    </w:rPr>
  </w:style>
  <w:style w:type="paragraph" w:styleId="TOC7">
    <w:name w:val="toc 7"/>
    <w:basedOn w:val="Normal"/>
    <w:next w:val="Normal"/>
    <w:autoRedefine/>
    <w:uiPriority w:val="39"/>
    <w:semiHidden/>
    <w:rsid w:val="00701A90"/>
    <w:pPr>
      <w:spacing w:before="0" w:after="0"/>
      <w:ind w:left="1200"/>
      <w:jc w:val="left"/>
    </w:pPr>
    <w:rPr>
      <w:rFonts w:ascii="Times New Roman" w:hAnsi="Times New Roman"/>
      <w:sz w:val="18"/>
      <w:szCs w:val="18"/>
    </w:rPr>
  </w:style>
  <w:style w:type="paragraph" w:styleId="TOC8">
    <w:name w:val="toc 8"/>
    <w:basedOn w:val="Normal"/>
    <w:next w:val="Normal"/>
    <w:autoRedefine/>
    <w:uiPriority w:val="39"/>
    <w:semiHidden/>
    <w:rsid w:val="00701A90"/>
    <w:pPr>
      <w:spacing w:before="0" w:after="0"/>
      <w:ind w:left="1400"/>
      <w:jc w:val="left"/>
    </w:pPr>
    <w:rPr>
      <w:rFonts w:ascii="Times New Roman" w:hAnsi="Times New Roman"/>
      <w:sz w:val="18"/>
      <w:szCs w:val="18"/>
    </w:rPr>
  </w:style>
  <w:style w:type="paragraph" w:styleId="TOC9">
    <w:name w:val="toc 9"/>
    <w:basedOn w:val="Normal"/>
    <w:next w:val="Normal"/>
    <w:autoRedefine/>
    <w:uiPriority w:val="39"/>
    <w:semiHidden/>
    <w:rsid w:val="00701A90"/>
    <w:pPr>
      <w:spacing w:before="0" w:after="0"/>
      <w:ind w:left="1600"/>
      <w:jc w:val="left"/>
    </w:pPr>
    <w:rPr>
      <w:rFonts w:ascii="Times New Roman" w:hAnsi="Times New Roman"/>
      <w:sz w:val="18"/>
      <w:szCs w:val="18"/>
    </w:rPr>
  </w:style>
  <w:style w:type="character" w:styleId="FollowedHyperlink">
    <w:name w:val="FollowedHyperlink"/>
    <w:basedOn w:val="DefaultParagraphFont"/>
    <w:uiPriority w:val="99"/>
    <w:rsid w:val="00087836"/>
    <w:rPr>
      <w:rFonts w:cs="Times New Roman"/>
      <w:color w:val="800080"/>
      <w:u w:val="single"/>
    </w:rPr>
  </w:style>
  <w:style w:type="paragraph" w:styleId="Caption">
    <w:name w:val="caption"/>
    <w:basedOn w:val="Normal"/>
    <w:next w:val="Normal"/>
    <w:uiPriority w:val="35"/>
    <w:qFormat/>
    <w:rsid w:val="00D86235"/>
    <w:rPr>
      <w:b/>
      <w:bCs/>
      <w:szCs w:val="20"/>
    </w:rPr>
  </w:style>
  <w:style w:type="paragraph" w:customStyle="1" w:styleId="Titredudocument">
    <w:name w:val="Titre du document"/>
    <w:basedOn w:val="Normal"/>
    <w:link w:val="TitredudocumentCar"/>
    <w:rsid w:val="00756C39"/>
    <w:pPr>
      <w:spacing w:before="120" w:after="120"/>
      <w:jc w:val="center"/>
    </w:pPr>
    <w:rPr>
      <w:rFonts w:eastAsia="Times New Roman"/>
      <w:b/>
      <w:bCs/>
      <w:color w:val="0000FF"/>
      <w:sz w:val="68"/>
      <w:szCs w:val="48"/>
      <w:lang w:val="fr-CA" w:eastAsia="en-GB"/>
    </w:rPr>
  </w:style>
  <w:style w:type="paragraph" w:customStyle="1" w:styleId="Typededocument">
    <w:name w:val="Type de document"/>
    <w:basedOn w:val="Titredudocument"/>
    <w:link w:val="TypededocumentCar"/>
    <w:rsid w:val="00756C39"/>
    <w:rPr>
      <w:i/>
      <w:iCs/>
      <w:color w:val="auto"/>
      <w:sz w:val="40"/>
      <w:szCs w:val="44"/>
    </w:rPr>
  </w:style>
  <w:style w:type="character" w:customStyle="1" w:styleId="TitredudocumentCar">
    <w:name w:val="Titre du document Car"/>
    <w:basedOn w:val="DefaultParagraphFont"/>
    <w:link w:val="Titredudocument"/>
    <w:locked/>
    <w:rsid w:val="00756C39"/>
    <w:rPr>
      <w:rFonts w:ascii="Verdana" w:hAnsi="Verdana" w:cs="Times New Roman"/>
      <w:b/>
      <w:bCs/>
      <w:color w:val="0000FF"/>
      <w:sz w:val="48"/>
      <w:szCs w:val="48"/>
      <w:lang w:val="fr-CA" w:eastAsia="en-GB" w:bidi="ar-SA"/>
    </w:rPr>
  </w:style>
  <w:style w:type="character" w:customStyle="1" w:styleId="TypededocumentCar">
    <w:name w:val="Type de document Car"/>
    <w:basedOn w:val="TitredudocumentCar"/>
    <w:link w:val="Typededocument"/>
    <w:locked/>
    <w:rsid w:val="00756C39"/>
    <w:rPr>
      <w:rFonts w:ascii="Verdana" w:hAnsi="Verdana" w:cs="Times New Roman"/>
      <w:b/>
      <w:bCs/>
      <w:i/>
      <w:iCs/>
      <w:color w:val="0000FF"/>
      <w:sz w:val="44"/>
      <w:szCs w:val="44"/>
      <w:lang w:val="fr-CA" w:eastAsia="en-GB" w:bidi="ar-SA"/>
    </w:rPr>
  </w:style>
  <w:style w:type="paragraph" w:customStyle="1" w:styleId="Documenttype">
    <w:name w:val="Document type"/>
    <w:basedOn w:val="Header"/>
    <w:rsid w:val="00756C39"/>
    <w:pPr>
      <w:tabs>
        <w:tab w:val="clear" w:pos="4320"/>
        <w:tab w:val="clear" w:pos="8640"/>
        <w:tab w:val="center" w:pos="4536"/>
        <w:tab w:val="right" w:pos="9072"/>
      </w:tabs>
      <w:spacing w:before="0" w:after="120"/>
      <w:jc w:val="right"/>
    </w:pPr>
    <w:rPr>
      <w:rFonts w:eastAsia="Times New Roman"/>
      <w:color w:val="808080"/>
      <w:sz w:val="16"/>
      <w:szCs w:val="16"/>
      <w:lang w:val="fr-CA" w:eastAsia="en-GB"/>
    </w:rPr>
  </w:style>
  <w:style w:type="paragraph" w:customStyle="1" w:styleId="Rfrencedudocument">
    <w:name w:val="Référence du document"/>
    <w:basedOn w:val="Header"/>
    <w:link w:val="RfrencedudocumentCar"/>
    <w:autoRedefine/>
    <w:rsid w:val="00756C39"/>
    <w:pPr>
      <w:tabs>
        <w:tab w:val="clear" w:pos="4320"/>
        <w:tab w:val="clear" w:pos="8640"/>
      </w:tabs>
      <w:spacing w:before="40" w:after="40"/>
    </w:pPr>
    <w:rPr>
      <w:b/>
      <w:color w:val="0000FF"/>
      <w:sz w:val="18"/>
      <w:szCs w:val="18"/>
    </w:rPr>
  </w:style>
  <w:style w:type="character" w:customStyle="1" w:styleId="RfrencedudocumentCar">
    <w:name w:val="Référence du document Car"/>
    <w:basedOn w:val="HeaderChar"/>
    <w:link w:val="Rfrencedudocument"/>
    <w:locked/>
    <w:rsid w:val="00756C39"/>
    <w:rPr>
      <w:rFonts w:ascii="Verdana" w:eastAsia="MS Mincho" w:hAnsi="Verdana" w:cs="Times New Roman"/>
      <w:b/>
      <w:color w:val="0000FF"/>
      <w:sz w:val="18"/>
      <w:szCs w:val="18"/>
      <w:lang w:val="en-GB" w:eastAsia="en-US" w:bidi="ar-SA"/>
    </w:rPr>
  </w:style>
  <w:style w:type="paragraph" w:styleId="ListParagraph">
    <w:name w:val="List Paragraph"/>
    <w:basedOn w:val="Normal"/>
    <w:uiPriority w:val="99"/>
    <w:qFormat/>
    <w:rsid w:val="00C534D5"/>
    <w:pPr>
      <w:spacing w:before="0" w:line="312" w:lineRule="auto"/>
      <w:ind w:left="720"/>
      <w:contextualSpacing/>
    </w:pPr>
    <w:rPr>
      <w:rFonts w:ascii="Arial" w:hAnsi="Arial" w:cs="Arial"/>
      <w:szCs w:val="20"/>
      <w:lang w:val="fr-FR"/>
    </w:rPr>
  </w:style>
  <w:style w:type="paragraph" w:customStyle="1" w:styleId="Default">
    <w:name w:val="Default"/>
    <w:rsid w:val="00842559"/>
    <w:pPr>
      <w:autoSpaceDE w:val="0"/>
      <w:autoSpaceDN w:val="0"/>
      <w:adjustRightInd w:val="0"/>
    </w:pPr>
    <w:rPr>
      <w:rFonts w:ascii="Arial" w:hAnsi="Arial" w:cs="Arial"/>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608454">
      <w:bodyDiv w:val="1"/>
      <w:marLeft w:val="0"/>
      <w:marRight w:val="0"/>
      <w:marTop w:val="0"/>
      <w:marBottom w:val="0"/>
      <w:divBdr>
        <w:top w:val="none" w:sz="0" w:space="0" w:color="auto"/>
        <w:left w:val="none" w:sz="0" w:space="0" w:color="auto"/>
        <w:bottom w:val="none" w:sz="0" w:space="0" w:color="auto"/>
        <w:right w:val="none" w:sz="0" w:space="0" w:color="auto"/>
      </w:divBdr>
    </w:div>
    <w:div w:id="224225581">
      <w:bodyDiv w:val="1"/>
      <w:marLeft w:val="0"/>
      <w:marRight w:val="0"/>
      <w:marTop w:val="0"/>
      <w:marBottom w:val="0"/>
      <w:divBdr>
        <w:top w:val="none" w:sz="0" w:space="0" w:color="auto"/>
        <w:left w:val="none" w:sz="0" w:space="0" w:color="auto"/>
        <w:bottom w:val="none" w:sz="0" w:space="0" w:color="auto"/>
        <w:right w:val="none" w:sz="0" w:space="0" w:color="auto"/>
      </w:divBdr>
    </w:div>
    <w:div w:id="267390023">
      <w:bodyDiv w:val="1"/>
      <w:marLeft w:val="0"/>
      <w:marRight w:val="0"/>
      <w:marTop w:val="0"/>
      <w:marBottom w:val="0"/>
      <w:divBdr>
        <w:top w:val="none" w:sz="0" w:space="0" w:color="auto"/>
        <w:left w:val="none" w:sz="0" w:space="0" w:color="auto"/>
        <w:bottom w:val="none" w:sz="0" w:space="0" w:color="auto"/>
        <w:right w:val="none" w:sz="0" w:space="0" w:color="auto"/>
      </w:divBdr>
    </w:div>
    <w:div w:id="268121210">
      <w:bodyDiv w:val="1"/>
      <w:marLeft w:val="0"/>
      <w:marRight w:val="0"/>
      <w:marTop w:val="0"/>
      <w:marBottom w:val="0"/>
      <w:divBdr>
        <w:top w:val="none" w:sz="0" w:space="0" w:color="auto"/>
        <w:left w:val="none" w:sz="0" w:space="0" w:color="auto"/>
        <w:bottom w:val="none" w:sz="0" w:space="0" w:color="auto"/>
        <w:right w:val="none" w:sz="0" w:space="0" w:color="auto"/>
      </w:divBdr>
    </w:div>
    <w:div w:id="283729513">
      <w:bodyDiv w:val="1"/>
      <w:marLeft w:val="0"/>
      <w:marRight w:val="0"/>
      <w:marTop w:val="0"/>
      <w:marBottom w:val="0"/>
      <w:divBdr>
        <w:top w:val="none" w:sz="0" w:space="0" w:color="auto"/>
        <w:left w:val="none" w:sz="0" w:space="0" w:color="auto"/>
        <w:bottom w:val="none" w:sz="0" w:space="0" w:color="auto"/>
        <w:right w:val="none" w:sz="0" w:space="0" w:color="auto"/>
      </w:divBdr>
    </w:div>
    <w:div w:id="357245440">
      <w:bodyDiv w:val="1"/>
      <w:marLeft w:val="0"/>
      <w:marRight w:val="0"/>
      <w:marTop w:val="0"/>
      <w:marBottom w:val="0"/>
      <w:divBdr>
        <w:top w:val="none" w:sz="0" w:space="0" w:color="auto"/>
        <w:left w:val="none" w:sz="0" w:space="0" w:color="auto"/>
        <w:bottom w:val="none" w:sz="0" w:space="0" w:color="auto"/>
        <w:right w:val="none" w:sz="0" w:space="0" w:color="auto"/>
      </w:divBdr>
    </w:div>
    <w:div w:id="364797795">
      <w:bodyDiv w:val="1"/>
      <w:marLeft w:val="0"/>
      <w:marRight w:val="0"/>
      <w:marTop w:val="0"/>
      <w:marBottom w:val="0"/>
      <w:divBdr>
        <w:top w:val="none" w:sz="0" w:space="0" w:color="auto"/>
        <w:left w:val="none" w:sz="0" w:space="0" w:color="auto"/>
        <w:bottom w:val="none" w:sz="0" w:space="0" w:color="auto"/>
        <w:right w:val="none" w:sz="0" w:space="0" w:color="auto"/>
      </w:divBdr>
    </w:div>
    <w:div w:id="420488208">
      <w:bodyDiv w:val="1"/>
      <w:marLeft w:val="0"/>
      <w:marRight w:val="0"/>
      <w:marTop w:val="0"/>
      <w:marBottom w:val="0"/>
      <w:divBdr>
        <w:top w:val="none" w:sz="0" w:space="0" w:color="auto"/>
        <w:left w:val="none" w:sz="0" w:space="0" w:color="auto"/>
        <w:bottom w:val="none" w:sz="0" w:space="0" w:color="auto"/>
        <w:right w:val="none" w:sz="0" w:space="0" w:color="auto"/>
      </w:divBdr>
    </w:div>
    <w:div w:id="466363358">
      <w:bodyDiv w:val="1"/>
      <w:marLeft w:val="0"/>
      <w:marRight w:val="0"/>
      <w:marTop w:val="0"/>
      <w:marBottom w:val="0"/>
      <w:divBdr>
        <w:top w:val="none" w:sz="0" w:space="0" w:color="auto"/>
        <w:left w:val="none" w:sz="0" w:space="0" w:color="auto"/>
        <w:bottom w:val="none" w:sz="0" w:space="0" w:color="auto"/>
        <w:right w:val="none" w:sz="0" w:space="0" w:color="auto"/>
      </w:divBdr>
    </w:div>
    <w:div w:id="554781894">
      <w:bodyDiv w:val="1"/>
      <w:marLeft w:val="0"/>
      <w:marRight w:val="0"/>
      <w:marTop w:val="0"/>
      <w:marBottom w:val="0"/>
      <w:divBdr>
        <w:top w:val="none" w:sz="0" w:space="0" w:color="auto"/>
        <w:left w:val="none" w:sz="0" w:space="0" w:color="auto"/>
        <w:bottom w:val="none" w:sz="0" w:space="0" w:color="auto"/>
        <w:right w:val="none" w:sz="0" w:space="0" w:color="auto"/>
      </w:divBdr>
    </w:div>
    <w:div w:id="583339600">
      <w:bodyDiv w:val="1"/>
      <w:marLeft w:val="0"/>
      <w:marRight w:val="0"/>
      <w:marTop w:val="0"/>
      <w:marBottom w:val="0"/>
      <w:divBdr>
        <w:top w:val="none" w:sz="0" w:space="0" w:color="auto"/>
        <w:left w:val="none" w:sz="0" w:space="0" w:color="auto"/>
        <w:bottom w:val="none" w:sz="0" w:space="0" w:color="auto"/>
        <w:right w:val="none" w:sz="0" w:space="0" w:color="auto"/>
      </w:divBdr>
    </w:div>
    <w:div w:id="595939698">
      <w:bodyDiv w:val="1"/>
      <w:marLeft w:val="0"/>
      <w:marRight w:val="0"/>
      <w:marTop w:val="0"/>
      <w:marBottom w:val="0"/>
      <w:divBdr>
        <w:top w:val="single" w:sz="2" w:space="0" w:color="DEDEDE"/>
        <w:left w:val="single" w:sz="4" w:space="0" w:color="DEDEDE"/>
        <w:bottom w:val="single" w:sz="2" w:space="0" w:color="DEDEDE"/>
        <w:right w:val="single" w:sz="4" w:space="0" w:color="DEDEDE"/>
      </w:divBdr>
      <w:divsChild>
        <w:div w:id="1235503584">
          <w:marLeft w:val="0"/>
          <w:marRight w:val="0"/>
          <w:marTop w:val="0"/>
          <w:marBottom w:val="0"/>
          <w:divBdr>
            <w:top w:val="none" w:sz="0" w:space="0" w:color="auto"/>
            <w:left w:val="none" w:sz="0" w:space="0" w:color="auto"/>
            <w:bottom w:val="none" w:sz="0" w:space="0" w:color="auto"/>
            <w:right w:val="none" w:sz="0" w:space="0" w:color="auto"/>
          </w:divBdr>
        </w:div>
      </w:divsChild>
    </w:div>
    <w:div w:id="641076877">
      <w:bodyDiv w:val="1"/>
      <w:marLeft w:val="0"/>
      <w:marRight w:val="0"/>
      <w:marTop w:val="0"/>
      <w:marBottom w:val="0"/>
      <w:divBdr>
        <w:top w:val="none" w:sz="0" w:space="0" w:color="auto"/>
        <w:left w:val="none" w:sz="0" w:space="0" w:color="auto"/>
        <w:bottom w:val="none" w:sz="0" w:space="0" w:color="auto"/>
        <w:right w:val="none" w:sz="0" w:space="0" w:color="auto"/>
      </w:divBdr>
    </w:div>
    <w:div w:id="776174079">
      <w:bodyDiv w:val="1"/>
      <w:marLeft w:val="0"/>
      <w:marRight w:val="0"/>
      <w:marTop w:val="0"/>
      <w:marBottom w:val="0"/>
      <w:divBdr>
        <w:top w:val="none" w:sz="0" w:space="0" w:color="auto"/>
        <w:left w:val="none" w:sz="0" w:space="0" w:color="auto"/>
        <w:bottom w:val="none" w:sz="0" w:space="0" w:color="auto"/>
        <w:right w:val="none" w:sz="0" w:space="0" w:color="auto"/>
      </w:divBdr>
    </w:div>
    <w:div w:id="811480462">
      <w:bodyDiv w:val="1"/>
      <w:marLeft w:val="0"/>
      <w:marRight w:val="0"/>
      <w:marTop w:val="0"/>
      <w:marBottom w:val="0"/>
      <w:divBdr>
        <w:top w:val="none" w:sz="0" w:space="0" w:color="auto"/>
        <w:left w:val="none" w:sz="0" w:space="0" w:color="auto"/>
        <w:bottom w:val="none" w:sz="0" w:space="0" w:color="auto"/>
        <w:right w:val="none" w:sz="0" w:space="0" w:color="auto"/>
      </w:divBdr>
    </w:div>
    <w:div w:id="908614084">
      <w:bodyDiv w:val="1"/>
      <w:marLeft w:val="0"/>
      <w:marRight w:val="0"/>
      <w:marTop w:val="0"/>
      <w:marBottom w:val="0"/>
      <w:divBdr>
        <w:top w:val="none" w:sz="0" w:space="0" w:color="auto"/>
        <w:left w:val="none" w:sz="0" w:space="0" w:color="auto"/>
        <w:bottom w:val="none" w:sz="0" w:space="0" w:color="auto"/>
        <w:right w:val="none" w:sz="0" w:space="0" w:color="auto"/>
      </w:divBdr>
    </w:div>
    <w:div w:id="955910182">
      <w:bodyDiv w:val="1"/>
      <w:marLeft w:val="0"/>
      <w:marRight w:val="0"/>
      <w:marTop w:val="0"/>
      <w:marBottom w:val="0"/>
      <w:divBdr>
        <w:top w:val="none" w:sz="0" w:space="0" w:color="auto"/>
        <w:left w:val="none" w:sz="0" w:space="0" w:color="auto"/>
        <w:bottom w:val="none" w:sz="0" w:space="0" w:color="auto"/>
        <w:right w:val="none" w:sz="0" w:space="0" w:color="auto"/>
      </w:divBdr>
    </w:div>
    <w:div w:id="970482040">
      <w:bodyDiv w:val="1"/>
      <w:marLeft w:val="0"/>
      <w:marRight w:val="0"/>
      <w:marTop w:val="0"/>
      <w:marBottom w:val="0"/>
      <w:divBdr>
        <w:top w:val="none" w:sz="0" w:space="0" w:color="auto"/>
        <w:left w:val="none" w:sz="0" w:space="0" w:color="auto"/>
        <w:bottom w:val="none" w:sz="0" w:space="0" w:color="auto"/>
        <w:right w:val="none" w:sz="0" w:space="0" w:color="auto"/>
      </w:divBdr>
    </w:div>
    <w:div w:id="983659646">
      <w:bodyDiv w:val="1"/>
      <w:marLeft w:val="0"/>
      <w:marRight w:val="0"/>
      <w:marTop w:val="0"/>
      <w:marBottom w:val="0"/>
      <w:divBdr>
        <w:top w:val="none" w:sz="0" w:space="0" w:color="auto"/>
        <w:left w:val="none" w:sz="0" w:space="0" w:color="auto"/>
        <w:bottom w:val="none" w:sz="0" w:space="0" w:color="auto"/>
        <w:right w:val="none" w:sz="0" w:space="0" w:color="auto"/>
      </w:divBdr>
    </w:div>
    <w:div w:id="1039357709">
      <w:bodyDiv w:val="1"/>
      <w:marLeft w:val="0"/>
      <w:marRight w:val="0"/>
      <w:marTop w:val="0"/>
      <w:marBottom w:val="0"/>
      <w:divBdr>
        <w:top w:val="none" w:sz="0" w:space="0" w:color="auto"/>
        <w:left w:val="none" w:sz="0" w:space="0" w:color="auto"/>
        <w:bottom w:val="none" w:sz="0" w:space="0" w:color="auto"/>
        <w:right w:val="none" w:sz="0" w:space="0" w:color="auto"/>
      </w:divBdr>
    </w:div>
    <w:div w:id="1066877866">
      <w:bodyDiv w:val="1"/>
      <w:marLeft w:val="0"/>
      <w:marRight w:val="0"/>
      <w:marTop w:val="0"/>
      <w:marBottom w:val="0"/>
      <w:divBdr>
        <w:top w:val="none" w:sz="0" w:space="0" w:color="auto"/>
        <w:left w:val="none" w:sz="0" w:space="0" w:color="auto"/>
        <w:bottom w:val="none" w:sz="0" w:space="0" w:color="auto"/>
        <w:right w:val="none" w:sz="0" w:space="0" w:color="auto"/>
      </w:divBdr>
    </w:div>
    <w:div w:id="1168789833">
      <w:bodyDiv w:val="1"/>
      <w:marLeft w:val="0"/>
      <w:marRight w:val="0"/>
      <w:marTop w:val="0"/>
      <w:marBottom w:val="0"/>
      <w:divBdr>
        <w:top w:val="none" w:sz="0" w:space="0" w:color="auto"/>
        <w:left w:val="none" w:sz="0" w:space="0" w:color="auto"/>
        <w:bottom w:val="none" w:sz="0" w:space="0" w:color="auto"/>
        <w:right w:val="none" w:sz="0" w:space="0" w:color="auto"/>
      </w:divBdr>
    </w:div>
    <w:div w:id="1362587147">
      <w:bodyDiv w:val="1"/>
      <w:marLeft w:val="0"/>
      <w:marRight w:val="0"/>
      <w:marTop w:val="0"/>
      <w:marBottom w:val="0"/>
      <w:divBdr>
        <w:top w:val="none" w:sz="0" w:space="0" w:color="auto"/>
        <w:left w:val="none" w:sz="0" w:space="0" w:color="auto"/>
        <w:bottom w:val="none" w:sz="0" w:space="0" w:color="auto"/>
        <w:right w:val="none" w:sz="0" w:space="0" w:color="auto"/>
      </w:divBdr>
    </w:div>
    <w:div w:id="1442459413">
      <w:bodyDiv w:val="1"/>
      <w:marLeft w:val="0"/>
      <w:marRight w:val="0"/>
      <w:marTop w:val="0"/>
      <w:marBottom w:val="0"/>
      <w:divBdr>
        <w:top w:val="none" w:sz="0" w:space="0" w:color="auto"/>
        <w:left w:val="none" w:sz="0" w:space="0" w:color="auto"/>
        <w:bottom w:val="none" w:sz="0" w:space="0" w:color="auto"/>
        <w:right w:val="none" w:sz="0" w:space="0" w:color="auto"/>
      </w:divBdr>
    </w:div>
    <w:div w:id="1469474527">
      <w:bodyDiv w:val="1"/>
      <w:marLeft w:val="0"/>
      <w:marRight w:val="0"/>
      <w:marTop w:val="0"/>
      <w:marBottom w:val="0"/>
      <w:divBdr>
        <w:top w:val="none" w:sz="0" w:space="0" w:color="auto"/>
        <w:left w:val="none" w:sz="0" w:space="0" w:color="auto"/>
        <w:bottom w:val="none" w:sz="0" w:space="0" w:color="auto"/>
        <w:right w:val="none" w:sz="0" w:space="0" w:color="auto"/>
      </w:divBdr>
    </w:div>
    <w:div w:id="1547987807">
      <w:bodyDiv w:val="1"/>
      <w:marLeft w:val="0"/>
      <w:marRight w:val="0"/>
      <w:marTop w:val="0"/>
      <w:marBottom w:val="0"/>
      <w:divBdr>
        <w:top w:val="none" w:sz="0" w:space="0" w:color="auto"/>
        <w:left w:val="none" w:sz="0" w:space="0" w:color="auto"/>
        <w:bottom w:val="none" w:sz="0" w:space="0" w:color="auto"/>
        <w:right w:val="none" w:sz="0" w:space="0" w:color="auto"/>
      </w:divBdr>
    </w:div>
    <w:div w:id="1555585282">
      <w:bodyDiv w:val="1"/>
      <w:marLeft w:val="0"/>
      <w:marRight w:val="0"/>
      <w:marTop w:val="0"/>
      <w:marBottom w:val="0"/>
      <w:divBdr>
        <w:top w:val="none" w:sz="0" w:space="0" w:color="auto"/>
        <w:left w:val="none" w:sz="0" w:space="0" w:color="auto"/>
        <w:bottom w:val="none" w:sz="0" w:space="0" w:color="auto"/>
        <w:right w:val="none" w:sz="0" w:space="0" w:color="auto"/>
      </w:divBdr>
    </w:div>
    <w:div w:id="1594363199">
      <w:bodyDiv w:val="1"/>
      <w:marLeft w:val="0"/>
      <w:marRight w:val="0"/>
      <w:marTop w:val="0"/>
      <w:marBottom w:val="0"/>
      <w:divBdr>
        <w:top w:val="none" w:sz="0" w:space="0" w:color="auto"/>
        <w:left w:val="none" w:sz="0" w:space="0" w:color="auto"/>
        <w:bottom w:val="none" w:sz="0" w:space="0" w:color="auto"/>
        <w:right w:val="none" w:sz="0" w:space="0" w:color="auto"/>
      </w:divBdr>
    </w:div>
    <w:div w:id="1618291329">
      <w:bodyDiv w:val="1"/>
      <w:marLeft w:val="0"/>
      <w:marRight w:val="0"/>
      <w:marTop w:val="0"/>
      <w:marBottom w:val="0"/>
      <w:divBdr>
        <w:top w:val="none" w:sz="0" w:space="0" w:color="auto"/>
        <w:left w:val="none" w:sz="0" w:space="0" w:color="auto"/>
        <w:bottom w:val="none" w:sz="0" w:space="0" w:color="auto"/>
        <w:right w:val="none" w:sz="0" w:space="0" w:color="auto"/>
      </w:divBdr>
    </w:div>
    <w:div w:id="1661688378">
      <w:bodyDiv w:val="1"/>
      <w:marLeft w:val="0"/>
      <w:marRight w:val="0"/>
      <w:marTop w:val="0"/>
      <w:marBottom w:val="0"/>
      <w:divBdr>
        <w:top w:val="none" w:sz="0" w:space="0" w:color="auto"/>
        <w:left w:val="none" w:sz="0" w:space="0" w:color="auto"/>
        <w:bottom w:val="none" w:sz="0" w:space="0" w:color="auto"/>
        <w:right w:val="none" w:sz="0" w:space="0" w:color="auto"/>
      </w:divBdr>
    </w:div>
    <w:div w:id="1716734888">
      <w:bodyDiv w:val="1"/>
      <w:marLeft w:val="0"/>
      <w:marRight w:val="0"/>
      <w:marTop w:val="0"/>
      <w:marBottom w:val="0"/>
      <w:divBdr>
        <w:top w:val="none" w:sz="0" w:space="0" w:color="auto"/>
        <w:left w:val="none" w:sz="0" w:space="0" w:color="auto"/>
        <w:bottom w:val="none" w:sz="0" w:space="0" w:color="auto"/>
        <w:right w:val="none" w:sz="0" w:space="0" w:color="auto"/>
      </w:divBdr>
    </w:div>
    <w:div w:id="1741976538">
      <w:bodyDiv w:val="1"/>
      <w:marLeft w:val="0"/>
      <w:marRight w:val="0"/>
      <w:marTop w:val="0"/>
      <w:marBottom w:val="0"/>
      <w:divBdr>
        <w:top w:val="none" w:sz="0" w:space="0" w:color="auto"/>
        <w:left w:val="none" w:sz="0" w:space="0" w:color="auto"/>
        <w:bottom w:val="none" w:sz="0" w:space="0" w:color="auto"/>
        <w:right w:val="none" w:sz="0" w:space="0" w:color="auto"/>
      </w:divBdr>
    </w:div>
    <w:div w:id="1742367796">
      <w:bodyDiv w:val="1"/>
      <w:marLeft w:val="0"/>
      <w:marRight w:val="0"/>
      <w:marTop w:val="0"/>
      <w:marBottom w:val="0"/>
      <w:divBdr>
        <w:top w:val="none" w:sz="0" w:space="0" w:color="auto"/>
        <w:left w:val="none" w:sz="0" w:space="0" w:color="auto"/>
        <w:bottom w:val="none" w:sz="0" w:space="0" w:color="auto"/>
        <w:right w:val="none" w:sz="0" w:space="0" w:color="auto"/>
      </w:divBdr>
    </w:div>
    <w:div w:id="1918006510">
      <w:bodyDiv w:val="1"/>
      <w:marLeft w:val="0"/>
      <w:marRight w:val="0"/>
      <w:marTop w:val="0"/>
      <w:marBottom w:val="0"/>
      <w:divBdr>
        <w:top w:val="none" w:sz="0" w:space="0" w:color="auto"/>
        <w:left w:val="none" w:sz="0" w:space="0" w:color="auto"/>
        <w:bottom w:val="none" w:sz="0" w:space="0" w:color="auto"/>
        <w:right w:val="none" w:sz="0" w:space="0" w:color="auto"/>
      </w:divBdr>
    </w:div>
    <w:div w:id="1991474234">
      <w:bodyDiv w:val="1"/>
      <w:marLeft w:val="0"/>
      <w:marRight w:val="0"/>
      <w:marTop w:val="0"/>
      <w:marBottom w:val="0"/>
      <w:divBdr>
        <w:top w:val="single" w:sz="2" w:space="0" w:color="DEDEDE"/>
        <w:left w:val="single" w:sz="4" w:space="0" w:color="DEDEDE"/>
        <w:bottom w:val="single" w:sz="2" w:space="0" w:color="DEDEDE"/>
        <w:right w:val="single" w:sz="4" w:space="0" w:color="DEDEDE"/>
      </w:divBdr>
      <w:divsChild>
        <w:div w:id="507213772">
          <w:marLeft w:val="0"/>
          <w:marRight w:val="0"/>
          <w:marTop w:val="0"/>
          <w:marBottom w:val="0"/>
          <w:divBdr>
            <w:top w:val="none" w:sz="0" w:space="0" w:color="auto"/>
            <w:left w:val="none" w:sz="0" w:space="0" w:color="auto"/>
            <w:bottom w:val="none" w:sz="0" w:space="0" w:color="auto"/>
            <w:right w:val="none" w:sz="0" w:space="0" w:color="auto"/>
          </w:divBdr>
        </w:div>
      </w:divsChild>
    </w:div>
    <w:div w:id="2073113749">
      <w:bodyDiv w:val="1"/>
      <w:marLeft w:val="0"/>
      <w:marRight w:val="0"/>
      <w:marTop w:val="0"/>
      <w:marBottom w:val="0"/>
      <w:divBdr>
        <w:top w:val="none" w:sz="0" w:space="0" w:color="auto"/>
        <w:left w:val="none" w:sz="0" w:space="0" w:color="auto"/>
        <w:bottom w:val="none" w:sz="0" w:space="0" w:color="auto"/>
        <w:right w:val="none" w:sz="0" w:space="0" w:color="auto"/>
      </w:divBdr>
    </w:div>
    <w:div w:id="2110155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D:\Projects\ORION-G\SVNDocs\Phase%200\7.FS\ProjectName-FunctionalSpecification-Rev.RevNo-VorX.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FA48B7-A932-4DC8-B90B-13B20A00A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ProjectName-FunctionalSpecification-Rev.RevNo-VorX</Template>
  <TotalTime>493</TotalTime>
  <Pages>10</Pages>
  <Words>1505</Words>
  <Characters>8579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&lt;Nom_Projet&gt;</vt:lpstr>
    </vt:vector>
  </TitlesOfParts>
  <Company>Air Liquide Medical System</Company>
  <LinksUpToDate>false</LinksUpToDate>
  <CharactersWithSpaces>10064</CharactersWithSpaces>
  <SharedDoc>false</SharedDoc>
  <HLinks>
    <vt:vector size="240" baseType="variant">
      <vt:variant>
        <vt:i4>1179704</vt:i4>
      </vt:variant>
      <vt:variant>
        <vt:i4>236</vt:i4>
      </vt:variant>
      <vt:variant>
        <vt:i4>0</vt:i4>
      </vt:variant>
      <vt:variant>
        <vt:i4>5</vt:i4>
      </vt:variant>
      <vt:variant>
        <vt:lpwstr/>
      </vt:variant>
      <vt:variant>
        <vt:lpwstr>_Toc343501855</vt:lpwstr>
      </vt:variant>
      <vt:variant>
        <vt:i4>1179704</vt:i4>
      </vt:variant>
      <vt:variant>
        <vt:i4>230</vt:i4>
      </vt:variant>
      <vt:variant>
        <vt:i4>0</vt:i4>
      </vt:variant>
      <vt:variant>
        <vt:i4>5</vt:i4>
      </vt:variant>
      <vt:variant>
        <vt:lpwstr/>
      </vt:variant>
      <vt:variant>
        <vt:lpwstr>_Toc343501854</vt:lpwstr>
      </vt:variant>
      <vt:variant>
        <vt:i4>1179704</vt:i4>
      </vt:variant>
      <vt:variant>
        <vt:i4>224</vt:i4>
      </vt:variant>
      <vt:variant>
        <vt:i4>0</vt:i4>
      </vt:variant>
      <vt:variant>
        <vt:i4>5</vt:i4>
      </vt:variant>
      <vt:variant>
        <vt:lpwstr/>
      </vt:variant>
      <vt:variant>
        <vt:lpwstr>_Toc343501853</vt:lpwstr>
      </vt:variant>
      <vt:variant>
        <vt:i4>1179704</vt:i4>
      </vt:variant>
      <vt:variant>
        <vt:i4>218</vt:i4>
      </vt:variant>
      <vt:variant>
        <vt:i4>0</vt:i4>
      </vt:variant>
      <vt:variant>
        <vt:i4>5</vt:i4>
      </vt:variant>
      <vt:variant>
        <vt:lpwstr/>
      </vt:variant>
      <vt:variant>
        <vt:lpwstr>_Toc343501852</vt:lpwstr>
      </vt:variant>
      <vt:variant>
        <vt:i4>1179704</vt:i4>
      </vt:variant>
      <vt:variant>
        <vt:i4>212</vt:i4>
      </vt:variant>
      <vt:variant>
        <vt:i4>0</vt:i4>
      </vt:variant>
      <vt:variant>
        <vt:i4>5</vt:i4>
      </vt:variant>
      <vt:variant>
        <vt:lpwstr/>
      </vt:variant>
      <vt:variant>
        <vt:lpwstr>_Toc343501851</vt:lpwstr>
      </vt:variant>
      <vt:variant>
        <vt:i4>1179704</vt:i4>
      </vt:variant>
      <vt:variant>
        <vt:i4>206</vt:i4>
      </vt:variant>
      <vt:variant>
        <vt:i4>0</vt:i4>
      </vt:variant>
      <vt:variant>
        <vt:i4>5</vt:i4>
      </vt:variant>
      <vt:variant>
        <vt:lpwstr/>
      </vt:variant>
      <vt:variant>
        <vt:lpwstr>_Toc343501850</vt:lpwstr>
      </vt:variant>
      <vt:variant>
        <vt:i4>1245240</vt:i4>
      </vt:variant>
      <vt:variant>
        <vt:i4>200</vt:i4>
      </vt:variant>
      <vt:variant>
        <vt:i4>0</vt:i4>
      </vt:variant>
      <vt:variant>
        <vt:i4>5</vt:i4>
      </vt:variant>
      <vt:variant>
        <vt:lpwstr/>
      </vt:variant>
      <vt:variant>
        <vt:lpwstr>_Toc343501849</vt:lpwstr>
      </vt:variant>
      <vt:variant>
        <vt:i4>1245240</vt:i4>
      </vt:variant>
      <vt:variant>
        <vt:i4>194</vt:i4>
      </vt:variant>
      <vt:variant>
        <vt:i4>0</vt:i4>
      </vt:variant>
      <vt:variant>
        <vt:i4>5</vt:i4>
      </vt:variant>
      <vt:variant>
        <vt:lpwstr/>
      </vt:variant>
      <vt:variant>
        <vt:lpwstr>_Toc343501848</vt:lpwstr>
      </vt:variant>
      <vt:variant>
        <vt:i4>1245240</vt:i4>
      </vt:variant>
      <vt:variant>
        <vt:i4>188</vt:i4>
      </vt:variant>
      <vt:variant>
        <vt:i4>0</vt:i4>
      </vt:variant>
      <vt:variant>
        <vt:i4>5</vt:i4>
      </vt:variant>
      <vt:variant>
        <vt:lpwstr/>
      </vt:variant>
      <vt:variant>
        <vt:lpwstr>_Toc343501847</vt:lpwstr>
      </vt:variant>
      <vt:variant>
        <vt:i4>1245240</vt:i4>
      </vt:variant>
      <vt:variant>
        <vt:i4>182</vt:i4>
      </vt:variant>
      <vt:variant>
        <vt:i4>0</vt:i4>
      </vt:variant>
      <vt:variant>
        <vt:i4>5</vt:i4>
      </vt:variant>
      <vt:variant>
        <vt:lpwstr/>
      </vt:variant>
      <vt:variant>
        <vt:lpwstr>_Toc343501846</vt:lpwstr>
      </vt:variant>
      <vt:variant>
        <vt:i4>1245240</vt:i4>
      </vt:variant>
      <vt:variant>
        <vt:i4>176</vt:i4>
      </vt:variant>
      <vt:variant>
        <vt:i4>0</vt:i4>
      </vt:variant>
      <vt:variant>
        <vt:i4>5</vt:i4>
      </vt:variant>
      <vt:variant>
        <vt:lpwstr/>
      </vt:variant>
      <vt:variant>
        <vt:lpwstr>_Toc343501845</vt:lpwstr>
      </vt:variant>
      <vt:variant>
        <vt:i4>1245240</vt:i4>
      </vt:variant>
      <vt:variant>
        <vt:i4>170</vt:i4>
      </vt:variant>
      <vt:variant>
        <vt:i4>0</vt:i4>
      </vt:variant>
      <vt:variant>
        <vt:i4>5</vt:i4>
      </vt:variant>
      <vt:variant>
        <vt:lpwstr/>
      </vt:variant>
      <vt:variant>
        <vt:lpwstr>_Toc343501844</vt:lpwstr>
      </vt:variant>
      <vt:variant>
        <vt:i4>1245240</vt:i4>
      </vt:variant>
      <vt:variant>
        <vt:i4>164</vt:i4>
      </vt:variant>
      <vt:variant>
        <vt:i4>0</vt:i4>
      </vt:variant>
      <vt:variant>
        <vt:i4>5</vt:i4>
      </vt:variant>
      <vt:variant>
        <vt:lpwstr/>
      </vt:variant>
      <vt:variant>
        <vt:lpwstr>_Toc343501843</vt:lpwstr>
      </vt:variant>
      <vt:variant>
        <vt:i4>1245240</vt:i4>
      </vt:variant>
      <vt:variant>
        <vt:i4>158</vt:i4>
      </vt:variant>
      <vt:variant>
        <vt:i4>0</vt:i4>
      </vt:variant>
      <vt:variant>
        <vt:i4>5</vt:i4>
      </vt:variant>
      <vt:variant>
        <vt:lpwstr/>
      </vt:variant>
      <vt:variant>
        <vt:lpwstr>_Toc343501842</vt:lpwstr>
      </vt:variant>
      <vt:variant>
        <vt:i4>1245240</vt:i4>
      </vt:variant>
      <vt:variant>
        <vt:i4>152</vt:i4>
      </vt:variant>
      <vt:variant>
        <vt:i4>0</vt:i4>
      </vt:variant>
      <vt:variant>
        <vt:i4>5</vt:i4>
      </vt:variant>
      <vt:variant>
        <vt:lpwstr/>
      </vt:variant>
      <vt:variant>
        <vt:lpwstr>_Toc343501841</vt:lpwstr>
      </vt:variant>
      <vt:variant>
        <vt:i4>1245240</vt:i4>
      </vt:variant>
      <vt:variant>
        <vt:i4>146</vt:i4>
      </vt:variant>
      <vt:variant>
        <vt:i4>0</vt:i4>
      </vt:variant>
      <vt:variant>
        <vt:i4>5</vt:i4>
      </vt:variant>
      <vt:variant>
        <vt:lpwstr/>
      </vt:variant>
      <vt:variant>
        <vt:lpwstr>_Toc343501840</vt:lpwstr>
      </vt:variant>
      <vt:variant>
        <vt:i4>1310776</vt:i4>
      </vt:variant>
      <vt:variant>
        <vt:i4>140</vt:i4>
      </vt:variant>
      <vt:variant>
        <vt:i4>0</vt:i4>
      </vt:variant>
      <vt:variant>
        <vt:i4>5</vt:i4>
      </vt:variant>
      <vt:variant>
        <vt:lpwstr/>
      </vt:variant>
      <vt:variant>
        <vt:lpwstr>_Toc343501839</vt:lpwstr>
      </vt:variant>
      <vt:variant>
        <vt:i4>1310776</vt:i4>
      </vt:variant>
      <vt:variant>
        <vt:i4>134</vt:i4>
      </vt:variant>
      <vt:variant>
        <vt:i4>0</vt:i4>
      </vt:variant>
      <vt:variant>
        <vt:i4>5</vt:i4>
      </vt:variant>
      <vt:variant>
        <vt:lpwstr/>
      </vt:variant>
      <vt:variant>
        <vt:lpwstr>_Toc343501838</vt:lpwstr>
      </vt:variant>
      <vt:variant>
        <vt:i4>1310776</vt:i4>
      </vt:variant>
      <vt:variant>
        <vt:i4>128</vt:i4>
      </vt:variant>
      <vt:variant>
        <vt:i4>0</vt:i4>
      </vt:variant>
      <vt:variant>
        <vt:i4>5</vt:i4>
      </vt:variant>
      <vt:variant>
        <vt:lpwstr/>
      </vt:variant>
      <vt:variant>
        <vt:lpwstr>_Toc343501837</vt:lpwstr>
      </vt:variant>
      <vt:variant>
        <vt:i4>1310776</vt:i4>
      </vt:variant>
      <vt:variant>
        <vt:i4>122</vt:i4>
      </vt:variant>
      <vt:variant>
        <vt:i4>0</vt:i4>
      </vt:variant>
      <vt:variant>
        <vt:i4>5</vt:i4>
      </vt:variant>
      <vt:variant>
        <vt:lpwstr/>
      </vt:variant>
      <vt:variant>
        <vt:lpwstr>_Toc343501836</vt:lpwstr>
      </vt:variant>
      <vt:variant>
        <vt:i4>1310776</vt:i4>
      </vt:variant>
      <vt:variant>
        <vt:i4>116</vt:i4>
      </vt:variant>
      <vt:variant>
        <vt:i4>0</vt:i4>
      </vt:variant>
      <vt:variant>
        <vt:i4>5</vt:i4>
      </vt:variant>
      <vt:variant>
        <vt:lpwstr/>
      </vt:variant>
      <vt:variant>
        <vt:lpwstr>_Toc343501835</vt:lpwstr>
      </vt:variant>
      <vt:variant>
        <vt:i4>1310776</vt:i4>
      </vt:variant>
      <vt:variant>
        <vt:i4>110</vt:i4>
      </vt:variant>
      <vt:variant>
        <vt:i4>0</vt:i4>
      </vt:variant>
      <vt:variant>
        <vt:i4>5</vt:i4>
      </vt:variant>
      <vt:variant>
        <vt:lpwstr/>
      </vt:variant>
      <vt:variant>
        <vt:lpwstr>_Toc343501834</vt:lpwstr>
      </vt:variant>
      <vt:variant>
        <vt:i4>1310776</vt:i4>
      </vt:variant>
      <vt:variant>
        <vt:i4>104</vt:i4>
      </vt:variant>
      <vt:variant>
        <vt:i4>0</vt:i4>
      </vt:variant>
      <vt:variant>
        <vt:i4>5</vt:i4>
      </vt:variant>
      <vt:variant>
        <vt:lpwstr/>
      </vt:variant>
      <vt:variant>
        <vt:lpwstr>_Toc343501833</vt:lpwstr>
      </vt:variant>
      <vt:variant>
        <vt:i4>1310776</vt:i4>
      </vt:variant>
      <vt:variant>
        <vt:i4>98</vt:i4>
      </vt:variant>
      <vt:variant>
        <vt:i4>0</vt:i4>
      </vt:variant>
      <vt:variant>
        <vt:i4>5</vt:i4>
      </vt:variant>
      <vt:variant>
        <vt:lpwstr/>
      </vt:variant>
      <vt:variant>
        <vt:lpwstr>_Toc343501832</vt:lpwstr>
      </vt:variant>
      <vt:variant>
        <vt:i4>1310776</vt:i4>
      </vt:variant>
      <vt:variant>
        <vt:i4>92</vt:i4>
      </vt:variant>
      <vt:variant>
        <vt:i4>0</vt:i4>
      </vt:variant>
      <vt:variant>
        <vt:i4>5</vt:i4>
      </vt:variant>
      <vt:variant>
        <vt:lpwstr/>
      </vt:variant>
      <vt:variant>
        <vt:lpwstr>_Toc343501831</vt:lpwstr>
      </vt:variant>
      <vt:variant>
        <vt:i4>1310776</vt:i4>
      </vt:variant>
      <vt:variant>
        <vt:i4>86</vt:i4>
      </vt:variant>
      <vt:variant>
        <vt:i4>0</vt:i4>
      </vt:variant>
      <vt:variant>
        <vt:i4>5</vt:i4>
      </vt:variant>
      <vt:variant>
        <vt:lpwstr/>
      </vt:variant>
      <vt:variant>
        <vt:lpwstr>_Toc343501830</vt:lpwstr>
      </vt:variant>
      <vt:variant>
        <vt:i4>1376312</vt:i4>
      </vt:variant>
      <vt:variant>
        <vt:i4>80</vt:i4>
      </vt:variant>
      <vt:variant>
        <vt:i4>0</vt:i4>
      </vt:variant>
      <vt:variant>
        <vt:i4>5</vt:i4>
      </vt:variant>
      <vt:variant>
        <vt:lpwstr/>
      </vt:variant>
      <vt:variant>
        <vt:lpwstr>_Toc343501829</vt:lpwstr>
      </vt:variant>
      <vt:variant>
        <vt:i4>1376312</vt:i4>
      </vt:variant>
      <vt:variant>
        <vt:i4>74</vt:i4>
      </vt:variant>
      <vt:variant>
        <vt:i4>0</vt:i4>
      </vt:variant>
      <vt:variant>
        <vt:i4>5</vt:i4>
      </vt:variant>
      <vt:variant>
        <vt:lpwstr/>
      </vt:variant>
      <vt:variant>
        <vt:lpwstr>_Toc343501828</vt:lpwstr>
      </vt:variant>
      <vt:variant>
        <vt:i4>1376312</vt:i4>
      </vt:variant>
      <vt:variant>
        <vt:i4>68</vt:i4>
      </vt:variant>
      <vt:variant>
        <vt:i4>0</vt:i4>
      </vt:variant>
      <vt:variant>
        <vt:i4>5</vt:i4>
      </vt:variant>
      <vt:variant>
        <vt:lpwstr/>
      </vt:variant>
      <vt:variant>
        <vt:lpwstr>_Toc343501827</vt:lpwstr>
      </vt:variant>
      <vt:variant>
        <vt:i4>1376312</vt:i4>
      </vt:variant>
      <vt:variant>
        <vt:i4>62</vt:i4>
      </vt:variant>
      <vt:variant>
        <vt:i4>0</vt:i4>
      </vt:variant>
      <vt:variant>
        <vt:i4>5</vt:i4>
      </vt:variant>
      <vt:variant>
        <vt:lpwstr/>
      </vt:variant>
      <vt:variant>
        <vt:lpwstr>_Toc343501826</vt:lpwstr>
      </vt:variant>
      <vt:variant>
        <vt:i4>1376312</vt:i4>
      </vt:variant>
      <vt:variant>
        <vt:i4>56</vt:i4>
      </vt:variant>
      <vt:variant>
        <vt:i4>0</vt:i4>
      </vt:variant>
      <vt:variant>
        <vt:i4>5</vt:i4>
      </vt:variant>
      <vt:variant>
        <vt:lpwstr/>
      </vt:variant>
      <vt:variant>
        <vt:lpwstr>_Toc343501825</vt:lpwstr>
      </vt:variant>
      <vt:variant>
        <vt:i4>1376312</vt:i4>
      </vt:variant>
      <vt:variant>
        <vt:i4>50</vt:i4>
      </vt:variant>
      <vt:variant>
        <vt:i4>0</vt:i4>
      </vt:variant>
      <vt:variant>
        <vt:i4>5</vt:i4>
      </vt:variant>
      <vt:variant>
        <vt:lpwstr/>
      </vt:variant>
      <vt:variant>
        <vt:lpwstr>_Toc343501824</vt:lpwstr>
      </vt:variant>
      <vt:variant>
        <vt:i4>1376312</vt:i4>
      </vt:variant>
      <vt:variant>
        <vt:i4>44</vt:i4>
      </vt:variant>
      <vt:variant>
        <vt:i4>0</vt:i4>
      </vt:variant>
      <vt:variant>
        <vt:i4>5</vt:i4>
      </vt:variant>
      <vt:variant>
        <vt:lpwstr/>
      </vt:variant>
      <vt:variant>
        <vt:lpwstr>_Toc343501823</vt:lpwstr>
      </vt:variant>
      <vt:variant>
        <vt:i4>1376312</vt:i4>
      </vt:variant>
      <vt:variant>
        <vt:i4>38</vt:i4>
      </vt:variant>
      <vt:variant>
        <vt:i4>0</vt:i4>
      </vt:variant>
      <vt:variant>
        <vt:i4>5</vt:i4>
      </vt:variant>
      <vt:variant>
        <vt:lpwstr/>
      </vt:variant>
      <vt:variant>
        <vt:lpwstr>_Toc343501822</vt:lpwstr>
      </vt:variant>
      <vt:variant>
        <vt:i4>1376312</vt:i4>
      </vt:variant>
      <vt:variant>
        <vt:i4>32</vt:i4>
      </vt:variant>
      <vt:variant>
        <vt:i4>0</vt:i4>
      </vt:variant>
      <vt:variant>
        <vt:i4>5</vt:i4>
      </vt:variant>
      <vt:variant>
        <vt:lpwstr/>
      </vt:variant>
      <vt:variant>
        <vt:lpwstr>_Toc343501821</vt:lpwstr>
      </vt:variant>
      <vt:variant>
        <vt:i4>1376312</vt:i4>
      </vt:variant>
      <vt:variant>
        <vt:i4>26</vt:i4>
      </vt:variant>
      <vt:variant>
        <vt:i4>0</vt:i4>
      </vt:variant>
      <vt:variant>
        <vt:i4>5</vt:i4>
      </vt:variant>
      <vt:variant>
        <vt:lpwstr/>
      </vt:variant>
      <vt:variant>
        <vt:lpwstr>_Toc343501820</vt:lpwstr>
      </vt:variant>
      <vt:variant>
        <vt:i4>1441848</vt:i4>
      </vt:variant>
      <vt:variant>
        <vt:i4>20</vt:i4>
      </vt:variant>
      <vt:variant>
        <vt:i4>0</vt:i4>
      </vt:variant>
      <vt:variant>
        <vt:i4>5</vt:i4>
      </vt:variant>
      <vt:variant>
        <vt:lpwstr/>
      </vt:variant>
      <vt:variant>
        <vt:lpwstr>_Toc343501819</vt:lpwstr>
      </vt:variant>
      <vt:variant>
        <vt:i4>1441848</vt:i4>
      </vt:variant>
      <vt:variant>
        <vt:i4>14</vt:i4>
      </vt:variant>
      <vt:variant>
        <vt:i4>0</vt:i4>
      </vt:variant>
      <vt:variant>
        <vt:i4>5</vt:i4>
      </vt:variant>
      <vt:variant>
        <vt:lpwstr/>
      </vt:variant>
      <vt:variant>
        <vt:lpwstr>_Toc343501818</vt:lpwstr>
      </vt:variant>
      <vt:variant>
        <vt:i4>1441848</vt:i4>
      </vt:variant>
      <vt:variant>
        <vt:i4>8</vt:i4>
      </vt:variant>
      <vt:variant>
        <vt:i4>0</vt:i4>
      </vt:variant>
      <vt:variant>
        <vt:i4>5</vt:i4>
      </vt:variant>
      <vt:variant>
        <vt:lpwstr/>
      </vt:variant>
      <vt:variant>
        <vt:lpwstr>_Toc343501817</vt:lpwstr>
      </vt:variant>
      <vt:variant>
        <vt:i4>1441848</vt:i4>
      </vt:variant>
      <vt:variant>
        <vt:i4>2</vt:i4>
      </vt:variant>
      <vt:variant>
        <vt:i4>0</vt:i4>
      </vt:variant>
      <vt:variant>
        <vt:i4>5</vt:i4>
      </vt:variant>
      <vt:variant>
        <vt:lpwstr/>
      </vt:variant>
      <vt:variant>
        <vt:lpwstr>_Toc343501816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&lt;Nom_Projet&gt;</dc:title>
  <dc:creator>gopal.k</dc:creator>
  <cp:lastModifiedBy>M, Devika</cp:lastModifiedBy>
  <cp:revision>109</cp:revision>
  <cp:lastPrinted>2023-03-30T09:36:00Z</cp:lastPrinted>
  <dcterms:created xsi:type="dcterms:W3CDTF">2023-03-10T05:31:00Z</dcterms:created>
  <dcterms:modified xsi:type="dcterms:W3CDTF">2024-10-15T07:18:00Z</dcterms:modified>
</cp:coreProperties>
</file>