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ECB4" w14:textId="1F3BB426" w:rsidR="001C6DDC" w:rsidRPr="001C6DDC" w:rsidRDefault="001C6DDC" w:rsidP="001C6DDC">
      <w:pPr>
        <w:keepNext/>
        <w:keepLines/>
        <w:spacing w:before="40" w:after="80" w:line="360" w:lineRule="auto"/>
        <w:jc w:val="both"/>
        <w:outlineLvl w:val="2"/>
        <w:rPr>
          <w:rFonts w:ascii="Arial" w:eastAsia="Calibri Light" w:hAnsi="Arial" w:cs="Calibri Light"/>
          <w:b/>
          <w:i/>
          <w:kern w:val="0"/>
          <w:lang w:eastAsia="de-DE"/>
          <w14:ligatures w14:val="none"/>
        </w:rPr>
      </w:pPr>
      <w:proofErr w:type="spellStart"/>
      <w:r w:rsidRPr="001C6DDC">
        <w:rPr>
          <w:rFonts w:ascii="Arial" w:eastAsia="Calibri Light" w:hAnsi="Arial" w:cs="Calibri Light"/>
          <w:b/>
          <w:i/>
          <w:kern w:val="0"/>
          <w:lang w:eastAsia="de-DE"/>
          <w14:ligatures w14:val="none"/>
        </w:rPr>
        <w:t>Statistics</w:t>
      </w:r>
      <w:proofErr w:type="spellEnd"/>
      <w:r w:rsidRPr="001C6DDC">
        <w:rPr>
          <w:rFonts w:ascii="Arial" w:eastAsia="Calibri Light" w:hAnsi="Arial" w:cs="Calibri Light"/>
          <w:b/>
          <w:i/>
          <w:kern w:val="0"/>
          <w:lang w:eastAsia="de-DE"/>
          <w14:ligatures w14:val="none"/>
        </w:rPr>
        <w:t xml:space="preserve"> </w:t>
      </w:r>
      <w:proofErr w:type="spellStart"/>
      <w:r w:rsidRPr="001C6DDC">
        <w:rPr>
          <w:rFonts w:ascii="Arial" w:eastAsia="Calibri Light" w:hAnsi="Arial" w:cs="Calibri Light"/>
          <w:b/>
          <w:i/>
          <w:kern w:val="0"/>
          <w:lang w:eastAsia="de-DE"/>
          <w14:ligatures w14:val="none"/>
        </w:rPr>
        <w:t>for</w:t>
      </w:r>
      <w:proofErr w:type="spellEnd"/>
      <w:r w:rsidRPr="001C6DDC">
        <w:rPr>
          <w:rFonts w:ascii="Arial" w:eastAsia="Calibri Light" w:hAnsi="Arial" w:cs="Calibri Light"/>
          <w:b/>
          <w:i/>
          <w:kern w:val="0"/>
          <w:lang w:eastAsia="de-DE"/>
          <w14:ligatures w14:val="none"/>
        </w:rPr>
        <w:t xml:space="preserve"> </w:t>
      </w:r>
      <w:proofErr w:type="spellStart"/>
      <w:r w:rsidRPr="001C6DDC">
        <w:rPr>
          <w:rFonts w:ascii="Arial" w:eastAsia="Calibri Light" w:hAnsi="Arial" w:cs="Calibri Light"/>
          <w:b/>
          <w:i/>
          <w:kern w:val="0"/>
          <w:lang w:eastAsia="de-DE"/>
          <w14:ligatures w14:val="none"/>
        </w:rPr>
        <w:t>exploratory</w:t>
      </w:r>
      <w:proofErr w:type="spellEnd"/>
      <w:r w:rsidRPr="001C6DDC">
        <w:rPr>
          <w:rFonts w:ascii="Arial" w:eastAsia="Calibri Light" w:hAnsi="Arial" w:cs="Calibri Light"/>
          <w:b/>
          <w:i/>
          <w:kern w:val="0"/>
          <w:lang w:eastAsia="de-DE"/>
          <w14:ligatures w14:val="none"/>
        </w:rPr>
        <w:t xml:space="preserve"> </w:t>
      </w:r>
      <w:proofErr w:type="spellStart"/>
      <w:r w:rsidRPr="001C6DDC">
        <w:rPr>
          <w:rFonts w:ascii="Arial" w:eastAsia="Calibri Light" w:hAnsi="Arial" w:cs="Calibri Light"/>
          <w:b/>
          <w:i/>
          <w:kern w:val="0"/>
          <w:lang w:eastAsia="de-DE"/>
          <w14:ligatures w14:val="none"/>
        </w:rPr>
        <w:t>analyses</w:t>
      </w:r>
      <w:proofErr w:type="spellEnd"/>
    </w:p>
    <w:p w14:paraId="09A3971A" w14:textId="77777777" w:rsidR="001C6DDC" w:rsidRPr="001C6DDC" w:rsidRDefault="001C6DDC" w:rsidP="001C6DDC">
      <w:pPr>
        <w:keepNext/>
        <w:keepLines/>
        <w:spacing w:before="40" w:after="80" w:line="360" w:lineRule="auto"/>
        <w:ind w:firstLine="708"/>
        <w:jc w:val="both"/>
        <w:outlineLvl w:val="2"/>
        <w:rPr>
          <w:rFonts w:ascii="Arial" w:eastAsia="Times New Roman" w:hAnsi="Arial" w:cs="Arial"/>
          <w:color w:val="000000"/>
          <w:lang w:val="en-GB"/>
        </w:rPr>
      </w:pPr>
      <w:r w:rsidRPr="001C6DDC">
        <w:rPr>
          <w:rFonts w:ascii="Arial" w:eastAsia="Times New Roman" w:hAnsi="Arial" w:cs="Arial"/>
          <w:b/>
          <w:bCs/>
          <w:i/>
          <w:iCs/>
          <w:color w:val="000000"/>
          <w:lang w:val="en-US"/>
        </w:rPr>
        <w:t>Depression subtype</w:t>
      </w:r>
      <w:r w:rsidRPr="001C6DDC">
        <w:rPr>
          <w:rFonts w:ascii="Arial" w:eastAsia="Times New Roman" w:hAnsi="Arial" w:cs="Arial"/>
          <w:b/>
          <w:bCs/>
          <w:color w:val="000000"/>
          <w:lang w:val="en-US"/>
        </w:rPr>
        <w:t xml:space="preserve">. </w:t>
      </w:r>
      <w:r w:rsidRPr="001C6DDC">
        <w:rPr>
          <w:rFonts w:ascii="Arial" w:eastAsia="Times New Roman" w:hAnsi="Arial" w:cs="Arial"/>
          <w:color w:val="000000"/>
          <w:lang w:val="en-US"/>
        </w:rPr>
        <w:t>To assess the potential influence of depression subtype and to inform future studies, we also report the results when including depression subtype (3 levels) instead of depression group (2 levels). We stratified</w:t>
      </w:r>
      <w:r w:rsidRPr="001C6DDC">
        <w:rPr>
          <w:rFonts w:ascii="Arial" w:eastAsia="Times New Roman" w:hAnsi="Arial" w:cs="Arial"/>
          <w:color w:val="000000"/>
          <w:lang w:val="en-GB"/>
        </w:rPr>
        <w:t xml:space="preserve"> the MDD sample into participants with low atypical MDD (below median atypical balance score) versus high atypical MDD (above median atypical balance score), allowing to include the categorial </w:t>
      </w:r>
      <w:r w:rsidRPr="001C6DDC">
        <w:rPr>
          <w:rFonts w:ascii="Arial" w:eastAsia="Times New Roman" w:hAnsi="Arial" w:cs="Arial"/>
          <w:i/>
          <w:iCs/>
          <w:color w:val="000000"/>
          <w:lang w:val="en-GB"/>
        </w:rPr>
        <w:t>Atypical Group Fact</w:t>
      </w:r>
      <w:r w:rsidRPr="001C6DDC">
        <w:rPr>
          <w:rFonts w:ascii="Arial" w:eastAsia="Times New Roman" w:hAnsi="Arial" w:cs="Arial"/>
          <w:color w:val="000000"/>
          <w:lang w:val="en-GB"/>
        </w:rPr>
        <w:t xml:space="preserve">or (HCP vs. low atypical balance vs. high atypical balance) to test across the whole sample. We used </w:t>
      </w:r>
      <w:r w:rsidRPr="001C6DDC">
        <w:rPr>
          <w:rFonts w:ascii="Arial" w:eastAsia="Aptos" w:hAnsi="Arial" w:cs="Arial"/>
          <w:color w:val="000000"/>
          <w:kern w:val="0"/>
          <w:lang w:val="en-US" w:eastAsia="de-DE"/>
          <w14:ligatures w14:val="none"/>
        </w:rPr>
        <w:t>FDR correction for main effects and interactions with the original depression models.</w:t>
      </w:r>
    </w:p>
    <w:p w14:paraId="63E86E86" w14:textId="77777777" w:rsidR="001C6DDC" w:rsidRPr="001C6DDC" w:rsidRDefault="001C6DDC" w:rsidP="001C6DDC">
      <w:pPr>
        <w:spacing w:line="360" w:lineRule="auto"/>
        <w:ind w:firstLine="708"/>
        <w:jc w:val="both"/>
        <w:rPr>
          <w:rFonts w:ascii="Arial" w:eastAsia="Aptos" w:hAnsi="Arial" w:cs="Arial"/>
          <w:color w:val="000000"/>
          <w:lang w:val="en-US"/>
        </w:rPr>
      </w:pPr>
      <w:r w:rsidRPr="001C6DDC">
        <w:rPr>
          <w:rFonts w:ascii="Arial" w:eastAsia="Aptos" w:hAnsi="Arial" w:cs="Arial"/>
          <w:b/>
          <w:bCs/>
          <w:i/>
          <w:iCs/>
          <w:lang w:val="en-GB"/>
        </w:rPr>
        <w:t>Hormonal values</w:t>
      </w:r>
      <w:r w:rsidRPr="001C6DDC">
        <w:rPr>
          <w:rFonts w:ascii="Arial" w:eastAsia="Aptos" w:hAnsi="Arial" w:cs="Arial"/>
          <w:lang w:val="en-GB"/>
        </w:rPr>
        <w:t xml:space="preserve">. </w:t>
      </w:r>
      <w:r w:rsidRPr="001C6DDC">
        <w:rPr>
          <w:rFonts w:ascii="Arial" w:eastAsia="Aptos" w:hAnsi="Arial" w:cs="Arial"/>
          <w:color w:val="000000"/>
          <w:lang w:val="en-US"/>
        </w:rPr>
        <w:t>For testing the associations of metabolic hormones with MDD and anhedonia, we used linear models with the hormonal values of interest as the dependent variable, u</w:t>
      </w:r>
      <w:r w:rsidRPr="001C6DDC">
        <w:rPr>
          <w:rFonts w:ascii="Arial" w:eastAsia="Times New Roman" w:hAnsi="Arial" w:cs="Arial"/>
          <w:kern w:val="0"/>
          <w:lang w:val="en-US" w:eastAsia="de-DE"/>
          <w14:ligatures w14:val="none"/>
        </w:rPr>
        <w:t>sing Group (dummy coded, 0: HCP, 1: MDD) or SHAPS (centered) as a predictor. All models included BMI, age, and sex (</w:t>
      </w:r>
      <w:proofErr w:type="spellStart"/>
      <w:r w:rsidRPr="001C6DDC">
        <w:rPr>
          <w:rFonts w:ascii="Arial" w:eastAsia="Times New Roman" w:hAnsi="Arial" w:cs="Arial"/>
          <w:kern w:val="0"/>
          <w:lang w:val="en-US" w:eastAsia="de-DE"/>
          <w14:ligatures w14:val="none"/>
        </w:rPr>
        <w:t>centred</w:t>
      </w:r>
      <w:proofErr w:type="spellEnd"/>
      <w:r w:rsidRPr="001C6DDC">
        <w:rPr>
          <w:rFonts w:ascii="Arial" w:eastAsia="Times New Roman" w:hAnsi="Arial" w:cs="Arial"/>
          <w:kern w:val="0"/>
          <w:lang w:val="en-US" w:eastAsia="de-DE"/>
          <w14:ligatures w14:val="none"/>
        </w:rPr>
        <w:t xml:space="preserve">) as potential confounders. We used </w:t>
      </w:r>
      <w:r w:rsidRPr="001C6DDC">
        <w:rPr>
          <w:rFonts w:ascii="Arial" w:eastAsia="Aptos" w:hAnsi="Arial" w:cs="Arial"/>
          <w:color w:val="000000"/>
          <w:kern w:val="0"/>
          <w:lang w:val="en-US" w:eastAsia="de-DE"/>
          <w14:ligatures w14:val="none"/>
        </w:rPr>
        <w:t>FDR correction within the family of tests for MDD and SHAPS.</w:t>
      </w:r>
    </w:p>
    <w:p w14:paraId="66E4FFB7" w14:textId="77777777" w:rsidR="001C6DDC" w:rsidRPr="001C6DDC" w:rsidRDefault="001C6DDC" w:rsidP="001C6DDC">
      <w:pPr>
        <w:spacing w:line="360" w:lineRule="auto"/>
        <w:ind w:firstLine="708"/>
        <w:jc w:val="both"/>
        <w:rPr>
          <w:rFonts w:ascii="Arial" w:eastAsia="Aptos" w:hAnsi="Arial" w:cs="Arial"/>
          <w:color w:val="000000"/>
          <w:lang w:val="en-US"/>
        </w:rPr>
      </w:pPr>
      <w:r w:rsidRPr="001C6DDC">
        <w:rPr>
          <w:rFonts w:ascii="Arial" w:eastAsia="Aptos" w:hAnsi="Arial" w:cs="Arial"/>
          <w:b/>
          <w:bCs/>
          <w:i/>
          <w:iCs/>
          <w:color w:val="000000"/>
          <w:lang w:val="en-US"/>
        </w:rPr>
        <w:t xml:space="preserve">Coupling of liking, wanting, and ghrelin. </w:t>
      </w:r>
      <w:r w:rsidRPr="001C6DDC">
        <w:rPr>
          <w:rFonts w:ascii="Arial" w:eastAsia="Aptos" w:hAnsi="Arial" w:cs="Arial"/>
          <w:color w:val="000000"/>
          <w:lang w:val="en-US"/>
        </w:rPr>
        <w:t xml:space="preserve">Since ghrelin was associated with liking and wanting, we tested whether it influences the association between liking and wanting. For this we used a linear model with wanting as the dependent variable and the following predictors: Liking (centered), Ghrelin values (res log, centered), the interaction of Liking x Ghrelin values, and </w:t>
      </w:r>
      <w:r w:rsidRPr="001C6DDC">
        <w:rPr>
          <w:rFonts w:ascii="Arial" w:eastAsia="Times New Roman" w:hAnsi="Arial" w:cs="Arial"/>
          <w:kern w:val="0"/>
          <w:lang w:val="en-US" w:eastAsia="de-DE"/>
          <w14:ligatures w14:val="none"/>
        </w:rPr>
        <w:t>Group (dummy coded, 0: HCP, 1: MDD). BMI, age, and sex (</w:t>
      </w:r>
      <w:proofErr w:type="spellStart"/>
      <w:r w:rsidRPr="001C6DDC">
        <w:rPr>
          <w:rFonts w:ascii="Arial" w:eastAsia="Times New Roman" w:hAnsi="Arial" w:cs="Arial"/>
          <w:kern w:val="0"/>
          <w:lang w:val="en-US" w:eastAsia="de-DE"/>
          <w14:ligatures w14:val="none"/>
        </w:rPr>
        <w:t>centred</w:t>
      </w:r>
      <w:proofErr w:type="spellEnd"/>
      <w:r w:rsidRPr="001C6DDC">
        <w:rPr>
          <w:rFonts w:ascii="Arial" w:eastAsia="Times New Roman" w:hAnsi="Arial" w:cs="Arial"/>
          <w:kern w:val="0"/>
          <w:lang w:val="en-US" w:eastAsia="de-DE"/>
          <w14:ligatures w14:val="none"/>
        </w:rPr>
        <w:t xml:space="preserve">) were included as potential confounders.  </w:t>
      </w:r>
    </w:p>
    <w:p w14:paraId="7A33050A" w14:textId="77777777" w:rsidR="001C6DDC" w:rsidRPr="001C6DDC" w:rsidRDefault="001C6DDC" w:rsidP="001C6DDC">
      <w:pPr>
        <w:spacing w:line="360" w:lineRule="auto"/>
        <w:jc w:val="both"/>
        <w:rPr>
          <w:rFonts w:ascii="Arial" w:eastAsia="Aptos" w:hAnsi="Arial" w:cs="Arial"/>
          <w:b/>
          <w:bCs/>
          <w:lang w:val="en-US"/>
        </w:rPr>
      </w:pPr>
    </w:p>
    <w:p w14:paraId="1255509D" w14:textId="77777777" w:rsidR="001C6DDC" w:rsidRPr="001C6DDC" w:rsidRDefault="001C6DDC" w:rsidP="001C6DDC">
      <w:pPr>
        <w:keepNext/>
        <w:keepLines/>
        <w:spacing w:before="40" w:after="80" w:line="360" w:lineRule="auto"/>
        <w:jc w:val="both"/>
        <w:outlineLvl w:val="2"/>
        <w:rPr>
          <w:rFonts w:ascii="Arial" w:eastAsia="Calibri Light" w:hAnsi="Arial" w:cs="Calibri Light"/>
          <w:b/>
          <w:i/>
          <w:kern w:val="0"/>
          <w:lang w:val="en-GB"/>
          <w14:ligatures w14:val="none"/>
        </w:rPr>
      </w:pPr>
      <w:r w:rsidRPr="001C6DDC">
        <w:rPr>
          <w:rFonts w:ascii="Arial" w:eastAsia="Calibri Light" w:hAnsi="Arial" w:cs="Calibri Light"/>
          <w:b/>
          <w:i/>
          <w:kern w:val="0"/>
          <w:lang w:val="en-US"/>
          <w14:ligatures w14:val="none"/>
        </w:rPr>
        <w:t>Statistics for sensitivity analyses</w:t>
      </w:r>
    </w:p>
    <w:p w14:paraId="6E0253CD" w14:textId="77777777" w:rsidR="001C6DDC" w:rsidRPr="001C6DDC" w:rsidRDefault="001C6DDC" w:rsidP="001C6DDC">
      <w:pPr>
        <w:spacing w:line="360" w:lineRule="auto"/>
        <w:ind w:firstLine="708"/>
        <w:contextualSpacing/>
        <w:jc w:val="both"/>
        <w:rPr>
          <w:rFonts w:ascii="Arial" w:eastAsia="Times New Roman" w:hAnsi="Arial" w:cs="Arial"/>
          <w:color w:val="000000"/>
          <w:lang w:val="en-US"/>
        </w:rPr>
      </w:pPr>
      <w:r w:rsidRPr="001C6DDC">
        <w:rPr>
          <w:rFonts w:ascii="Arial" w:eastAsia="Times New Roman" w:hAnsi="Arial" w:cs="Arial"/>
          <w:b/>
          <w:bCs/>
          <w:i/>
          <w:iCs/>
          <w:color w:val="000000"/>
          <w:lang w:val="en-US"/>
        </w:rPr>
        <w:t>Medication</w:t>
      </w:r>
      <w:r w:rsidRPr="001C6DDC">
        <w:rPr>
          <w:rFonts w:ascii="Arial" w:eastAsia="Times New Roman" w:hAnsi="Arial" w:cs="Arial"/>
          <w:b/>
          <w:bCs/>
          <w:color w:val="000000"/>
          <w:lang w:val="en-US"/>
        </w:rPr>
        <w:t>.</w:t>
      </w:r>
      <w:r w:rsidRPr="001C6DDC">
        <w:rPr>
          <w:rFonts w:ascii="Arial" w:eastAsia="Times New Roman" w:hAnsi="Arial" w:cs="Arial"/>
          <w:color w:val="000000"/>
          <w:lang w:val="en-US"/>
        </w:rPr>
        <w:t xml:space="preserve"> To assess the potential impact of medication, we also report how including medication type influences results by including it in the model by grouping the MDD sample: (1) no antidepressant medication, (2) selective serotonin reuptake inhibitors (SSRIs), and (3) other antidepressant medication, using treatment coding with no antidepressant medication as baseline (Table 1). </w:t>
      </w:r>
    </w:p>
    <w:p w14:paraId="6A55C539" w14:textId="77777777" w:rsidR="001C6DDC" w:rsidRPr="001C6DDC" w:rsidRDefault="001C6DDC" w:rsidP="001C6DDC">
      <w:pPr>
        <w:spacing w:line="360" w:lineRule="auto"/>
        <w:ind w:firstLine="708"/>
        <w:contextualSpacing/>
        <w:jc w:val="both"/>
        <w:rPr>
          <w:rFonts w:ascii="Arial" w:eastAsia="Times New Roman" w:hAnsi="Arial" w:cs="Arial"/>
          <w:color w:val="000000"/>
          <w:lang w:val="en-GB"/>
        </w:rPr>
      </w:pPr>
      <w:r w:rsidRPr="001C6DDC">
        <w:rPr>
          <w:rFonts w:ascii="Arial" w:eastAsia="Times New Roman" w:hAnsi="Arial" w:cs="Arial"/>
          <w:b/>
          <w:bCs/>
          <w:i/>
          <w:iCs/>
          <w:color w:val="000000"/>
          <w:lang w:val="en-US"/>
        </w:rPr>
        <w:t>Depression severity</w:t>
      </w:r>
      <w:r w:rsidRPr="001C6DDC">
        <w:rPr>
          <w:rFonts w:ascii="Arial" w:eastAsia="Times New Roman" w:hAnsi="Arial" w:cs="Arial"/>
          <w:b/>
          <w:bCs/>
          <w:color w:val="000000"/>
          <w:lang w:val="en-US"/>
        </w:rPr>
        <w:t>.</w:t>
      </w:r>
      <w:r w:rsidRPr="001C6DDC">
        <w:rPr>
          <w:rFonts w:ascii="Arial" w:eastAsia="Times New Roman" w:hAnsi="Arial" w:cs="Arial"/>
          <w:color w:val="000000"/>
          <w:lang w:val="en-GB"/>
        </w:rPr>
        <w:t xml:space="preserve"> To account for the influence of depression severity, we also report how the results of interest change when including the BDI sum score (centred).</w:t>
      </w:r>
    </w:p>
    <w:p w14:paraId="777C0F2B" w14:textId="77777777" w:rsidR="001C6DDC" w:rsidRPr="001C6DDC" w:rsidRDefault="001C6DDC" w:rsidP="001C6DDC">
      <w:pPr>
        <w:spacing w:line="360" w:lineRule="auto"/>
        <w:ind w:firstLine="708"/>
        <w:contextualSpacing/>
        <w:jc w:val="both"/>
        <w:rPr>
          <w:rFonts w:ascii="Arial" w:eastAsia="Aptos" w:hAnsi="Arial" w:cs="Arial"/>
          <w:b/>
          <w:bCs/>
          <w:lang w:val="en-GB"/>
        </w:rPr>
      </w:pPr>
      <w:r w:rsidRPr="001C6DDC">
        <w:rPr>
          <w:rFonts w:ascii="Arial" w:eastAsia="Times New Roman" w:hAnsi="Arial" w:cs="Arial"/>
          <w:b/>
          <w:bCs/>
          <w:i/>
          <w:iCs/>
          <w:color w:val="000000"/>
          <w:lang w:val="en-US"/>
        </w:rPr>
        <w:t>Anhedonia measurement</w:t>
      </w:r>
      <w:r w:rsidRPr="001C6DDC">
        <w:rPr>
          <w:rFonts w:ascii="Arial" w:eastAsia="Times New Roman" w:hAnsi="Arial" w:cs="Arial"/>
          <w:b/>
          <w:bCs/>
          <w:color w:val="000000"/>
          <w:lang w:val="en-US"/>
        </w:rPr>
        <w:t>.</w:t>
      </w:r>
      <w:r w:rsidRPr="001C6DDC">
        <w:rPr>
          <w:rFonts w:ascii="Arial" w:eastAsia="Times New Roman" w:hAnsi="Arial" w:cs="Arial"/>
          <w:color w:val="000000"/>
          <w:lang w:val="en-GB"/>
        </w:rPr>
        <w:t xml:space="preserve"> To exclude that our results solely rely on our choice of instrument to measure anhedonia (i.e., SHAPS sum score), we also report results for single SHAPS items and results exchanging SHAPS for the BDI anhedonia </w:t>
      </w:r>
      <w:proofErr w:type="spellStart"/>
      <w:r w:rsidRPr="001C6DDC">
        <w:rPr>
          <w:rFonts w:ascii="Arial" w:eastAsia="Times New Roman" w:hAnsi="Arial" w:cs="Arial"/>
          <w:color w:val="000000"/>
          <w:lang w:val="en-GB"/>
        </w:rPr>
        <w:t>subscore</w:t>
      </w:r>
      <w:proofErr w:type="spellEnd"/>
      <w:r w:rsidRPr="001C6DDC">
        <w:rPr>
          <w:rFonts w:ascii="Arial" w:eastAsia="Times New Roman" w:hAnsi="Arial" w:cs="Arial"/>
          <w:color w:val="000000"/>
          <w:lang w:val="en-GB"/>
        </w:rPr>
        <w:t xml:space="preserve"> (see GitHub).  </w:t>
      </w:r>
    </w:p>
    <w:p w14:paraId="6D5EE14D" w14:textId="77777777" w:rsidR="001C6DDC" w:rsidRPr="001C6DDC" w:rsidRDefault="001C6DDC" w:rsidP="001C6DDC">
      <w:pPr>
        <w:spacing w:line="360" w:lineRule="auto"/>
        <w:ind w:firstLine="709"/>
        <w:jc w:val="both"/>
        <w:rPr>
          <w:rFonts w:ascii="Arial" w:eastAsia="Aptos" w:hAnsi="Arial" w:cs="Arial"/>
          <w:lang w:val="en-US"/>
        </w:rPr>
      </w:pPr>
      <w:r w:rsidRPr="001C6DDC">
        <w:rPr>
          <w:rFonts w:ascii="Arial" w:eastAsia="Times New Roman" w:hAnsi="Arial" w:cs="Arial"/>
          <w:b/>
          <w:bCs/>
          <w:i/>
          <w:iCs/>
          <w:color w:val="000000"/>
          <w:lang w:val="en-US"/>
        </w:rPr>
        <w:lastRenderedPageBreak/>
        <w:t>Liking and wanting dependency.</w:t>
      </w:r>
      <w:r w:rsidRPr="001C6DDC">
        <w:rPr>
          <w:rFonts w:ascii="Arial" w:eastAsia="Aptos" w:hAnsi="Arial" w:cs="Arial"/>
          <w:lang w:val="en-GB"/>
        </w:rPr>
        <w:t xml:space="preserve"> Since ratings of </w:t>
      </w:r>
      <w:r w:rsidRPr="001C6DDC">
        <w:rPr>
          <w:rFonts w:ascii="Arial" w:eastAsia="Aptos" w:hAnsi="Arial" w:cs="Arial"/>
          <w:lang w:val="en-US"/>
        </w:rPr>
        <w:t>wanting and liking are associated (</w:t>
      </w:r>
      <w:r w:rsidRPr="001C6DDC">
        <w:rPr>
          <w:rFonts w:ascii="Arial" w:eastAsia="Aptos" w:hAnsi="Arial" w:cs="Arial"/>
          <w:i/>
          <w:iCs/>
          <w:lang w:val="en-US"/>
        </w:rPr>
        <w:t>r</w:t>
      </w:r>
      <w:r w:rsidRPr="001C6DDC">
        <w:rPr>
          <w:rFonts w:ascii="Arial" w:eastAsia="Aptos" w:hAnsi="Arial" w:cs="Arial"/>
          <w:lang w:val="en-US"/>
        </w:rPr>
        <w:t xml:space="preserve"> = .75, [CI: .65; .82]; </w:t>
      </w:r>
      <w:r w:rsidRPr="001C6DDC">
        <w:rPr>
          <w:rFonts w:ascii="Arial" w:eastAsia="Aptos" w:hAnsi="Arial" w:cs="Arial"/>
          <w:i/>
          <w:iCs/>
          <w:lang w:val="en-US"/>
        </w:rPr>
        <w:t xml:space="preserve">p </w:t>
      </w:r>
      <w:r w:rsidRPr="001C6DDC">
        <w:rPr>
          <w:rFonts w:ascii="Arial" w:eastAsia="Aptos" w:hAnsi="Arial" w:cs="Arial"/>
          <w:lang w:val="en-US"/>
        </w:rPr>
        <w:t xml:space="preserve">&lt; .001), we added liking as a predictor to the interaction of phase and MDD (or anhedonia) in the models with wanting as outcome, to isolate variance that is not captured by liking ratings. We also added liking as a random slope. Importantly, main conclusions did not change (Table S2). </w:t>
      </w:r>
    </w:p>
    <w:p w14:paraId="6BF62A66" w14:textId="77777777" w:rsidR="001C6DDC" w:rsidRPr="001C6DDC" w:rsidRDefault="001C6DDC" w:rsidP="001C6DDC">
      <w:pPr>
        <w:spacing w:line="360" w:lineRule="auto"/>
        <w:ind w:firstLine="709"/>
        <w:jc w:val="both"/>
        <w:rPr>
          <w:rFonts w:ascii="Arial" w:eastAsia="Aptos" w:hAnsi="Arial" w:cs="Arial"/>
          <w:lang w:val="en-US"/>
        </w:rPr>
      </w:pPr>
      <w:r w:rsidRPr="001C6DDC">
        <w:rPr>
          <w:rFonts w:ascii="Arial" w:eastAsia="Times New Roman" w:hAnsi="Arial" w:cs="Times New Roman"/>
          <w:b/>
          <w:bCs/>
          <w:i/>
          <w:iCs/>
          <w:kern w:val="0"/>
          <w:lang w:val="en-GB" w:eastAsia="de-DE"/>
          <w14:ligatures w14:val="none"/>
        </w:rPr>
        <w:t>Other taste ratings</w:t>
      </w:r>
      <w:r w:rsidRPr="001C6DDC">
        <w:rPr>
          <w:rFonts w:ascii="Arial" w:eastAsia="Times New Roman" w:hAnsi="Arial" w:cs="Times New Roman"/>
          <w:kern w:val="0"/>
          <w:lang w:val="en-GB" w:eastAsia="de-DE"/>
          <w14:ligatures w14:val="none"/>
        </w:rPr>
        <w:t xml:space="preserve">. Since anhedonia has been associated with differences in sweet taste perception, which could explain differences in wanting or liking we also tested whether participants with MDD and anhedonia differed in any of the taste ratings. </w:t>
      </w:r>
    </w:p>
    <w:p w14:paraId="5DC58CC1" w14:textId="77777777" w:rsidR="001C6DDC" w:rsidRPr="001C6DDC" w:rsidRDefault="001C6DDC" w:rsidP="001C6DDC">
      <w:pPr>
        <w:spacing w:line="360" w:lineRule="auto"/>
        <w:ind w:firstLine="709"/>
        <w:jc w:val="both"/>
        <w:rPr>
          <w:rFonts w:ascii="Arial" w:eastAsia="Aptos" w:hAnsi="Arial" w:cs="Arial"/>
          <w:color w:val="000000"/>
          <w:lang w:val="en-US"/>
        </w:rPr>
      </w:pPr>
      <w:r w:rsidRPr="001C6DDC">
        <w:rPr>
          <w:rFonts w:ascii="Arial" w:eastAsia="Times New Roman" w:hAnsi="Arial" w:cs="Arial"/>
          <w:b/>
          <w:bCs/>
          <w:i/>
          <w:iCs/>
          <w:color w:val="000000"/>
          <w:lang w:val="en-US"/>
        </w:rPr>
        <w:t xml:space="preserve">Influence of potential violation of </w:t>
      </w:r>
      <w:r w:rsidRPr="001C6DDC">
        <w:rPr>
          <w:rFonts w:ascii="Arial" w:eastAsia="Aptos" w:hAnsi="Arial" w:cs="Arial"/>
          <w:b/>
          <w:bCs/>
          <w:i/>
          <w:iCs/>
          <w:color w:val="000000"/>
          <w:lang w:val="en-US"/>
        </w:rPr>
        <w:t>heteroscedasticity</w:t>
      </w:r>
      <w:r w:rsidRPr="001C6DDC">
        <w:rPr>
          <w:rFonts w:ascii="Arial" w:eastAsia="Times New Roman" w:hAnsi="Arial" w:cs="Arial"/>
          <w:b/>
          <w:bCs/>
          <w:i/>
          <w:iCs/>
          <w:color w:val="000000"/>
          <w:lang w:val="en-US"/>
        </w:rPr>
        <w:t xml:space="preserve">. </w:t>
      </w:r>
      <w:r w:rsidRPr="001C6DDC">
        <w:rPr>
          <w:rFonts w:ascii="Arial" w:eastAsia="Aptos" w:hAnsi="Arial" w:cs="Arial"/>
          <w:color w:val="000000"/>
          <w:lang w:val="en-US"/>
        </w:rPr>
        <w:t>Since there was some indication of a violation of the heteroscedasticity assumption, we corroborated the linear mixed-effects models with the wild bootstrapping method to check the robustness of the parameter estimates. The wild bootstrap makes no distribution assumptions and allows for heteroskedasticity</w:t>
      </w:r>
      <w:r w:rsidRPr="001C6DDC">
        <w:rPr>
          <w:rFonts w:ascii="Arial" w:eastAsia="Aptos" w:hAnsi="Arial" w:cs="Arial"/>
          <w:color w:val="000000"/>
          <w:lang w:val="en-US"/>
        </w:rPr>
        <w:fldChar w:fldCharType="begin"/>
      </w:r>
      <w:r w:rsidRPr="001C6DDC">
        <w:rPr>
          <w:rFonts w:ascii="Arial" w:eastAsia="Aptos" w:hAnsi="Arial" w:cs="Arial"/>
          <w:color w:val="000000"/>
          <w:lang w:val="en-US"/>
        </w:rPr>
        <w:instrText xml:space="preserve"> ADDIN ZOTERO_ITEM CSL_CITATION {"citationID":"5uourVtS","properties":{"unsorted":false,"formattedCitation":"\\super 176\\nosupersub{}","plainCitation":"176","noteIndex":0},"citationItems":[{"id":9139,"uris":["http://zotero.org/users/5010908/items/4AIQVWGA"],"itemData":{"id":9139,"type":"article-journal","abstract":"In this paper, we study the performance of the most popular bootstrap schemes for multilevel data. Also, we propose a modified version of the wild bootstrap procedure for hierarchical data structures. The wild bootstrap does not require homoscedasticity or assumptions on the distribution of the error processes. Hence, it is a valuable tool for robust inference in a multilevel framework. We assess the finite size performances of the schemes through a Monte Carlo study. The results show that for big sample sizes it always pays off to adopt an agnostic approach as the wild bootstrap outperforms other techniques.","container-title":"Communications in Statistics - Theory and Methods","DOI":"10.1080/03610926.2013.802807","ISSN":"0361-0926, 1532-415X","issue":"22","journalAbbreviation":"Communications in Statistics - Theory and Methods","language":"en","page":"4812-4825","source":"Semantic Scholar","title":"The Wild Bootstrap for Multilevel Models","volume":"44","author":[{"family":"Modugno","given":"Lucia"},{"family":"Giannerini","given":"Simone"}],"issued":{"date-parts":[["2015",11,17]]}}}],"schema":"https://github.com/citation-style-language/schema/raw/master/csl-citation.json"} </w:instrText>
      </w:r>
      <w:r w:rsidRPr="001C6DDC">
        <w:rPr>
          <w:rFonts w:ascii="Arial" w:eastAsia="Aptos" w:hAnsi="Arial" w:cs="Arial"/>
          <w:color w:val="000000"/>
          <w:lang w:val="en-US"/>
        </w:rPr>
        <w:fldChar w:fldCharType="separate"/>
      </w:r>
      <w:r w:rsidRPr="001C6DDC">
        <w:rPr>
          <w:rFonts w:ascii="Arial" w:eastAsia="Calibri" w:hAnsi="Arial" w:cs="Arial"/>
          <w:color w:val="000000"/>
          <w:kern w:val="0"/>
          <w:vertAlign w:val="superscript"/>
          <w14:ligatures w14:val="none"/>
        </w:rPr>
        <w:t>176</w:t>
      </w:r>
      <w:r w:rsidRPr="001C6DDC">
        <w:rPr>
          <w:rFonts w:ascii="Arial" w:eastAsia="Aptos" w:hAnsi="Arial" w:cs="Arial"/>
          <w:color w:val="000000"/>
          <w:lang w:val="en-US"/>
        </w:rPr>
        <w:fldChar w:fldCharType="end"/>
      </w:r>
      <w:r w:rsidRPr="001C6DDC">
        <w:rPr>
          <w:rFonts w:ascii="Arial" w:eastAsia="Aptos" w:hAnsi="Arial" w:cs="Arial"/>
          <w:color w:val="000000"/>
          <w:lang w:val="en-US"/>
        </w:rPr>
        <w:t>. We report a comparison of parametric and non-parametric estimates and standard errors (Table S3). Importantly, our conclusions do not change qualitatively.</w:t>
      </w:r>
    </w:p>
    <w:p w14:paraId="7D9DDBEF" w14:textId="77777777" w:rsidR="00573053" w:rsidRPr="001C6DDC" w:rsidRDefault="00573053" w:rsidP="001C6DDC"/>
    <w:sectPr w:rsidR="00573053" w:rsidRPr="001C6D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DC"/>
    <w:rsid w:val="00047A0D"/>
    <w:rsid w:val="001C6DDC"/>
    <w:rsid w:val="00573053"/>
    <w:rsid w:val="00A832A3"/>
    <w:rsid w:val="00D05F3D"/>
    <w:rsid w:val="00E7209C"/>
    <w:rsid w:val="00FA65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978C"/>
  <w15:chartTrackingRefBased/>
  <w15:docId w15:val="{BABC3BE6-1C15-DE40-9916-7E39BA010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6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6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6DD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6DD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6DD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6DD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6DD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C6DD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6DD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C6DD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6DD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6DD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6DD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6DD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6DD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6DD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6DD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6DDC"/>
    <w:rPr>
      <w:rFonts w:eastAsiaTheme="majorEastAsia" w:cstheme="majorBidi"/>
      <w:color w:val="272727" w:themeColor="text1" w:themeTint="D8"/>
    </w:rPr>
  </w:style>
  <w:style w:type="paragraph" w:styleId="Titel">
    <w:name w:val="Title"/>
    <w:basedOn w:val="Standard"/>
    <w:next w:val="Standard"/>
    <w:link w:val="TitelZchn"/>
    <w:uiPriority w:val="10"/>
    <w:qFormat/>
    <w:rsid w:val="001C6DD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6DD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6DD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6DD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6DD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C6DDC"/>
    <w:rPr>
      <w:i/>
      <w:iCs/>
      <w:color w:val="404040" w:themeColor="text1" w:themeTint="BF"/>
    </w:rPr>
  </w:style>
  <w:style w:type="paragraph" w:styleId="Listenabsatz">
    <w:name w:val="List Paragraph"/>
    <w:basedOn w:val="Standard"/>
    <w:uiPriority w:val="34"/>
    <w:qFormat/>
    <w:rsid w:val="001C6DDC"/>
    <w:pPr>
      <w:ind w:left="720"/>
      <w:contextualSpacing/>
    </w:pPr>
  </w:style>
  <w:style w:type="character" w:styleId="IntensiveHervorhebung">
    <w:name w:val="Intense Emphasis"/>
    <w:basedOn w:val="Absatz-Standardschriftart"/>
    <w:uiPriority w:val="21"/>
    <w:qFormat/>
    <w:rsid w:val="001C6DDC"/>
    <w:rPr>
      <w:i/>
      <w:iCs/>
      <w:color w:val="0F4761" w:themeColor="accent1" w:themeShade="BF"/>
    </w:rPr>
  </w:style>
  <w:style w:type="paragraph" w:styleId="IntensivesZitat">
    <w:name w:val="Intense Quote"/>
    <w:basedOn w:val="Standard"/>
    <w:next w:val="Standard"/>
    <w:link w:val="IntensivesZitatZchn"/>
    <w:uiPriority w:val="30"/>
    <w:qFormat/>
    <w:rsid w:val="001C6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6DDC"/>
    <w:rPr>
      <w:i/>
      <w:iCs/>
      <w:color w:val="0F4761" w:themeColor="accent1" w:themeShade="BF"/>
    </w:rPr>
  </w:style>
  <w:style w:type="character" w:styleId="IntensiverVerweis">
    <w:name w:val="Intense Reference"/>
    <w:basedOn w:val="Absatz-Standardschriftart"/>
    <w:uiPriority w:val="32"/>
    <w:qFormat/>
    <w:rsid w:val="001C6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697</Words>
  <Characters>4392</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Corinna Schulz</dc:creator>
  <cp:keywords/>
  <dc:description/>
  <cp:lastModifiedBy>Corinna Schulz</cp:lastModifiedBy>
  <cp:revision>1</cp:revision>
  <dcterms:created xsi:type="dcterms:W3CDTF">2026-02-12T13:27:00Z</dcterms:created>
  <dcterms:modified xsi:type="dcterms:W3CDTF">2026-02-12T13:28:00Z</dcterms:modified>
</cp:coreProperties>
</file>