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EB504" w14:textId="77777777" w:rsidR="00DA6205" w:rsidRDefault="00000000">
      <w:pPr>
        <w:spacing w:after="60"/>
      </w:pPr>
      <w:r>
        <w:rPr>
          <w:b/>
          <w:bCs/>
          <w:color w:val="1F3864"/>
          <w:sz w:val="40"/>
          <w:szCs w:val="40"/>
        </w:rPr>
        <w:t>MLB Scion — The June Problem</w:t>
      </w:r>
    </w:p>
    <w:p w14:paraId="1EC30996" w14:textId="77777777" w:rsidR="00DA6205" w:rsidRDefault="00000000">
      <w:pPr>
        <w:spacing w:after="40"/>
      </w:pPr>
      <w:r>
        <w:rPr>
          <w:color w:val="1F3864"/>
          <w:sz w:val="24"/>
          <w:szCs w:val="24"/>
        </w:rPr>
        <w:t>Diagnosis and recommended course of action for the remainder of June 2026</w:t>
      </w:r>
    </w:p>
    <w:p w14:paraId="36BE457D" w14:textId="77777777" w:rsidR="00DA6205" w:rsidRDefault="00000000">
      <w:pPr>
        <w:pStyle w:val="Heading1"/>
      </w:pPr>
      <w:r>
        <w:t>1.  Bottom line up front</w:t>
      </w:r>
    </w:p>
    <w:p w14:paraId="3C7CA49A" w14:textId="77777777" w:rsidR="00DA6205" w:rsidRDefault="00000000">
      <w:pPr>
        <w:spacing w:after="140" w:line="276" w:lineRule="auto"/>
      </w:pPr>
      <w:r>
        <w:rPr>
          <w:b/>
          <w:bCs/>
        </w:rPr>
        <w:t xml:space="preserve">Do not switch the book to V123 </w:t>
      </w:r>
      <w:proofErr w:type="spellStart"/>
      <w:r>
        <w:rPr>
          <w:b/>
          <w:bCs/>
        </w:rPr>
        <w:t>StatsOnly</w:t>
      </w:r>
      <w:proofErr w:type="spellEnd"/>
      <w:r>
        <w:t xml:space="preserve">, and </w:t>
      </w:r>
      <w:r>
        <w:rPr>
          <w:b/>
          <w:bCs/>
        </w:rPr>
        <w:t>do not turn the underdog plays off</w:t>
      </w:r>
      <w:r>
        <w:t xml:space="preserve"> either. The first move misdiagnoses the cause; the second over-reacts to a tiny sample. The evidence supports a middle path: </w:t>
      </w:r>
      <w:r>
        <w:rPr>
          <w:b/>
          <w:bCs/>
        </w:rPr>
        <w:t>reduce dog exposure for the rest of June, keep the favourite plays, hold capital, and commission a price-band decomposition before drawing any seasonal conclusion.</w:t>
      </w:r>
    </w:p>
    <w:p w14:paraId="14C379C5" w14:textId="77777777" w:rsidR="00DA6205" w:rsidRDefault="00000000">
      <w:pPr>
        <w:spacing w:after="140" w:line="276" w:lineRule="auto"/>
      </w:pPr>
      <w:r>
        <w:t xml:space="preserve">The reason for caution in both directions is the same — the evidence base for “June is costly” is far thinner than it looks. </w:t>
      </w:r>
      <w:r>
        <w:rPr>
          <w:b/>
          <w:bCs/>
        </w:rPr>
        <w:t xml:space="preserve">Consensus was </w:t>
      </w:r>
      <w:proofErr w:type="gramStart"/>
      <w:r>
        <w:rPr>
          <w:b/>
          <w:bCs/>
        </w:rPr>
        <w:t>actually +10.5% in</w:t>
      </w:r>
      <w:proofErr w:type="gramEnd"/>
      <w:r>
        <w:rPr>
          <w:b/>
          <w:bCs/>
        </w:rPr>
        <w:t xml:space="preserve"> June 2025</w:t>
      </w:r>
      <w:r>
        <w:t xml:space="preserve"> (</w:t>
      </w:r>
      <w:proofErr w:type="spellStart"/>
      <w:r>
        <w:t>faves</w:t>
      </w:r>
      <w:proofErr w:type="spellEnd"/>
      <w:r>
        <w:t xml:space="preserve"> +26.8% outweighing dogs −10.3%). The only clearly bad consensus June is the 2026 fortnight at −11.2% — and that is just 18 plays, with its worst cell (home dogs, −49.9%) resting on the same 4 plays that recur in every table. We have </w:t>
      </w:r>
      <w:r>
        <w:rPr>
          <w:i/>
          <w:iCs/>
        </w:rPr>
        <w:t>one flattered-positive June and one tiny clean-negative June</w:t>
      </w:r>
      <w:r>
        <w:t>. That is enough to de-risk and investigate; it is not enough to switch models or kill a proven signal.</w:t>
      </w:r>
    </w:p>
    <w:p w14:paraId="2A233B88" w14:textId="77777777" w:rsidR="00DA6205" w:rsidRDefault="00000000">
      <w:pPr>
        <w:spacing w:after="140" w:line="276" w:lineRule="auto"/>
      </w:pPr>
      <w:r>
        <w:rPr>
          <w:b/>
          <w:bCs/>
        </w:rPr>
        <w:t xml:space="preserve">On the new disagreement signal (Section 9): </w:t>
      </w:r>
      <w:r>
        <w:t>revert yesterday’s live addition and make consensus (Setup 4) the live spine. The signal is promising but unvalidated, dog-heavy, and untested in the live June regime — exactly the profile you should not be adding to the book mid-drawdown. Validate it forward; do not discard it. Detail in §6.</w:t>
      </w:r>
    </w:p>
    <w:p w14:paraId="24AF9664" w14:textId="77777777" w:rsidR="00DA6205" w:rsidRDefault="00000000">
      <w:pPr>
        <w:pStyle w:val="Heading1"/>
      </w:pPr>
      <w:r>
        <w:t>2.  Context in brief</w:t>
      </w:r>
    </w:p>
    <w:p w14:paraId="7F2946D4" w14:textId="77777777" w:rsidR="00DA6205" w:rsidRDefault="00000000">
      <w:pPr>
        <w:spacing w:after="140" w:line="276" w:lineRule="auto"/>
      </w:pPr>
      <w:r>
        <w:t>MLB Scion is a binary classifier of the home-team win for games inside a ±150 line; the home-win probability drives edge versus the de-</w:t>
      </w:r>
      <w:proofErr w:type="spellStart"/>
      <w:r>
        <w:t>vigged</w:t>
      </w:r>
      <w:proofErr w:type="spellEnd"/>
      <w:r>
        <w:t xml:space="preserve"> price, selection, and stake sizing. Two </w:t>
      </w:r>
      <w:proofErr w:type="spellStart"/>
      <w:r>
        <w:t>LightGBM</w:t>
      </w:r>
      <w:proofErr w:type="spellEnd"/>
      <w:r>
        <w:t xml:space="preserve"> ensembles predict the same target on the same data, differing only in inputs:</w:t>
      </w:r>
    </w:p>
    <w:p w14:paraId="6D8F1E4F" w14:textId="77777777" w:rsidR="00DA6205" w:rsidRDefault="00000000">
      <w:pPr>
        <w:pStyle w:val="ListParagraph"/>
        <w:numPr>
          <w:ilvl w:val="0"/>
          <w:numId w:val="2"/>
        </w:numPr>
        <w:spacing w:after="90" w:line="270" w:lineRule="auto"/>
      </w:pPr>
      <w:r>
        <w:rPr>
          <w:b/>
          <w:bCs/>
        </w:rPr>
        <w:t xml:space="preserve">V119 (line + stats, 15 models). </w:t>
      </w:r>
      <w:r>
        <w:t xml:space="preserve">Market-anchored — the bookmaker home probability is </w:t>
      </w:r>
      <w:proofErr w:type="gramStart"/>
      <w:r>
        <w:t>its</w:t>
      </w:r>
      <w:proofErr w:type="gramEnd"/>
      <w:r>
        <w:t xml:space="preserve"> one Core feature (~24.8%). Strong on favourites.</w:t>
      </w:r>
    </w:p>
    <w:p w14:paraId="268AC119" w14:textId="77777777" w:rsidR="00DA6205" w:rsidRDefault="00000000">
      <w:pPr>
        <w:pStyle w:val="ListParagraph"/>
        <w:numPr>
          <w:ilvl w:val="0"/>
          <w:numId w:val="2"/>
        </w:numPr>
        <w:spacing w:after="90" w:line="270" w:lineRule="auto"/>
      </w:pPr>
      <w:r>
        <w:rPr>
          <w:b/>
          <w:bCs/>
        </w:rPr>
        <w:t xml:space="preserve">V123 (stats-led, game line removed, 41 models). </w:t>
      </w:r>
      <w:r>
        <w:t>Fundamentals plus a residual closing-line ratio; effectively market-blind, so its agreement with V119 is independent confirmation — the basis of the consensus edge.</w:t>
      </w:r>
    </w:p>
    <w:p w14:paraId="341EB46C" w14:textId="77777777" w:rsidR="00DA6205" w:rsidRDefault="00000000">
      <w:pPr>
        <w:spacing w:after="140" w:line="276" w:lineRule="auto"/>
      </w:pPr>
      <w:r>
        <w:t xml:space="preserve">Training: 2004 – 5 Jun 2025. Out-of-sample (OOS): 6 Jun 2025 – 5 Jun 2026 (1,770 games). Live production begins 6 Jun 2026. Selection thresholds were tuned </w:t>
      </w:r>
      <w:r>
        <w:rPr>
          <w:i/>
          <w:iCs/>
        </w:rPr>
        <w:t>on</w:t>
      </w:r>
      <w:r>
        <w:t xml:space="preserve"> the OOS, so headline OOS ROIs are optimistic — which is exactly why June 2025 (inside that window) cannot be read as a clean confirmation either.</w:t>
      </w:r>
    </w:p>
    <w:p w14:paraId="18FC72FF" w14:textId="77777777" w:rsidR="00DA6205" w:rsidRDefault="00000000">
      <w:pPr>
        <w:pStyle w:val="Heading1"/>
      </w:pPr>
      <w:r>
        <w:t>3.  The production strategy and how it stakes</w:t>
      </w:r>
    </w:p>
    <w:p w14:paraId="27D4595C" w14:textId="77777777" w:rsidR="00DA6205" w:rsidRDefault="00000000">
      <w:pPr>
        <w:spacing w:after="140" w:line="276" w:lineRule="auto"/>
      </w:pPr>
      <w:r>
        <w:rPr>
          <w:b/>
          <w:bCs/>
        </w:rPr>
        <w:t>Setup 4 — Consensus only</w:t>
      </w:r>
      <w:r>
        <w:t xml:space="preserve"> (play only when V119 and V123 independently back the same side) is the strongest setup on every risk-adjusted measure over the full </w:t>
      </w:r>
      <w:proofErr w:type="spellStart"/>
      <w:r>
        <w:t>outsample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0"/>
        <w:gridCol w:w="980"/>
        <w:gridCol w:w="980"/>
        <w:gridCol w:w="980"/>
        <w:gridCol w:w="1100"/>
        <w:gridCol w:w="1100"/>
        <w:gridCol w:w="1700"/>
      </w:tblGrid>
      <w:tr w:rsidR="00DA6205" w14:paraId="0C0AD86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20" w:type="dxa"/>
            <w:tcBorders>
              <w:top w:val="single" w:sz="1" w:space="0" w:color="B7B7B7"/>
              <w:left w:val="single" w:sz="1" w:space="0" w:color="B7B7B7"/>
              <w:bottom w:val="single" w:sz="1" w:space="0" w:color="B7B7B7"/>
              <w:right w:val="single" w:sz="1" w:space="0" w:color="B7B7B7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874E528" w14:textId="77777777" w:rsidR="00DA6205" w:rsidRDefault="00000000"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Strategy</w:t>
            </w:r>
          </w:p>
        </w:tc>
        <w:tc>
          <w:tcPr>
            <w:tcW w:w="980" w:type="dxa"/>
            <w:tcBorders>
              <w:top w:val="single" w:sz="1" w:space="0" w:color="B7B7B7"/>
              <w:left w:val="single" w:sz="1" w:space="0" w:color="B7B7B7"/>
              <w:bottom w:val="single" w:sz="1" w:space="0" w:color="B7B7B7"/>
              <w:right w:val="single" w:sz="1" w:space="0" w:color="B7B7B7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787F4FD" w14:textId="77777777" w:rsidR="00DA6205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Plays</w:t>
            </w:r>
          </w:p>
        </w:tc>
        <w:tc>
          <w:tcPr>
            <w:tcW w:w="980" w:type="dxa"/>
            <w:tcBorders>
              <w:top w:val="single" w:sz="1" w:space="0" w:color="B7B7B7"/>
              <w:left w:val="single" w:sz="1" w:space="0" w:color="B7B7B7"/>
              <w:bottom w:val="single" w:sz="1" w:space="0" w:color="B7B7B7"/>
              <w:right w:val="single" w:sz="1" w:space="0" w:color="B7B7B7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5CE765D" w14:textId="77777777" w:rsidR="00DA6205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% games</w:t>
            </w:r>
          </w:p>
        </w:tc>
        <w:tc>
          <w:tcPr>
            <w:tcW w:w="980" w:type="dxa"/>
            <w:tcBorders>
              <w:top w:val="single" w:sz="1" w:space="0" w:color="B7B7B7"/>
              <w:left w:val="single" w:sz="1" w:space="0" w:color="B7B7B7"/>
              <w:bottom w:val="single" w:sz="1" w:space="0" w:color="B7B7B7"/>
              <w:right w:val="single" w:sz="1" w:space="0" w:color="B7B7B7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C9F8934" w14:textId="77777777" w:rsidR="00DA6205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Win %</w:t>
            </w:r>
          </w:p>
        </w:tc>
        <w:tc>
          <w:tcPr>
            <w:tcW w:w="1100" w:type="dxa"/>
            <w:tcBorders>
              <w:top w:val="single" w:sz="1" w:space="0" w:color="B7B7B7"/>
              <w:left w:val="single" w:sz="1" w:space="0" w:color="B7B7B7"/>
              <w:bottom w:val="single" w:sz="1" w:space="0" w:color="B7B7B7"/>
              <w:right w:val="single" w:sz="1" w:space="0" w:color="B7B7B7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F5F6B4D" w14:textId="77777777" w:rsidR="00DA6205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ROI (full)</w:t>
            </w:r>
          </w:p>
        </w:tc>
        <w:tc>
          <w:tcPr>
            <w:tcW w:w="1100" w:type="dxa"/>
            <w:tcBorders>
              <w:top w:val="single" w:sz="1" w:space="0" w:color="B7B7B7"/>
              <w:left w:val="single" w:sz="1" w:space="0" w:color="B7B7B7"/>
              <w:bottom w:val="single" w:sz="1" w:space="0" w:color="B7B7B7"/>
              <w:right w:val="single" w:sz="1" w:space="0" w:color="B7B7B7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AA459E5" w14:textId="77777777" w:rsidR="00DA6205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ROI (2026)</w:t>
            </w:r>
          </w:p>
        </w:tc>
        <w:tc>
          <w:tcPr>
            <w:tcW w:w="1700" w:type="dxa"/>
            <w:tcBorders>
              <w:top w:val="single" w:sz="1" w:space="0" w:color="B7B7B7"/>
              <w:left w:val="single" w:sz="1" w:space="0" w:color="B7B7B7"/>
              <w:bottom w:val="single" w:sz="1" w:space="0" w:color="B7B7B7"/>
              <w:right w:val="single" w:sz="1" w:space="0" w:color="B7B7B7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194F7A" w14:textId="77777777" w:rsidR="00DA6205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Per-bet SR</w:t>
            </w:r>
          </w:p>
        </w:tc>
      </w:tr>
      <w:tr w:rsidR="00DA6205" w14:paraId="3CDA4E47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B7B7B7"/>
              <w:left w:val="single" w:sz="1" w:space="0" w:color="B7B7B7"/>
              <w:bottom w:val="single" w:sz="1" w:space="0" w:color="B7B7B7"/>
              <w:right w:val="single" w:sz="1" w:space="0" w:color="B7B7B7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71BF202" w14:textId="77777777" w:rsidR="00DA6205" w:rsidRDefault="00000000">
            <w:r>
              <w:rPr>
                <w:b/>
                <w:bCs/>
                <w:color w:val="000000"/>
                <w:sz w:val="19"/>
                <w:szCs w:val="19"/>
              </w:rPr>
              <w:t>V119 alone (line + stats)</w:t>
            </w:r>
          </w:p>
        </w:tc>
        <w:tc>
          <w:tcPr>
            <w:tcW w:w="980" w:type="dxa"/>
            <w:tcBorders>
              <w:top w:val="single" w:sz="1" w:space="0" w:color="B7B7B7"/>
              <w:left w:val="single" w:sz="1" w:space="0" w:color="B7B7B7"/>
              <w:bottom w:val="single" w:sz="1" w:space="0" w:color="B7B7B7"/>
              <w:right w:val="single" w:sz="1" w:space="0" w:color="B7B7B7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61FF85E" w14:textId="77777777" w:rsidR="00DA6205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357</w:t>
            </w:r>
          </w:p>
        </w:tc>
        <w:tc>
          <w:tcPr>
            <w:tcW w:w="980" w:type="dxa"/>
            <w:tcBorders>
              <w:top w:val="single" w:sz="1" w:space="0" w:color="B7B7B7"/>
              <w:left w:val="single" w:sz="1" w:space="0" w:color="B7B7B7"/>
              <w:bottom w:val="single" w:sz="1" w:space="0" w:color="B7B7B7"/>
              <w:right w:val="single" w:sz="1" w:space="0" w:color="B7B7B7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387E61F" w14:textId="77777777" w:rsidR="00DA6205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20.2%</w:t>
            </w:r>
          </w:p>
        </w:tc>
        <w:tc>
          <w:tcPr>
            <w:tcW w:w="980" w:type="dxa"/>
            <w:tcBorders>
              <w:top w:val="single" w:sz="1" w:space="0" w:color="B7B7B7"/>
              <w:left w:val="single" w:sz="1" w:space="0" w:color="B7B7B7"/>
              <w:bottom w:val="single" w:sz="1" w:space="0" w:color="B7B7B7"/>
              <w:right w:val="single" w:sz="1" w:space="0" w:color="B7B7B7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F940109" w14:textId="77777777" w:rsidR="00DA6205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57.1%</w:t>
            </w:r>
          </w:p>
        </w:tc>
        <w:tc>
          <w:tcPr>
            <w:tcW w:w="1100" w:type="dxa"/>
            <w:tcBorders>
              <w:top w:val="single" w:sz="1" w:space="0" w:color="B7B7B7"/>
              <w:left w:val="single" w:sz="1" w:space="0" w:color="B7B7B7"/>
              <w:bottom w:val="single" w:sz="1" w:space="0" w:color="B7B7B7"/>
              <w:right w:val="single" w:sz="1" w:space="0" w:color="B7B7B7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F8A4F0" w14:textId="77777777" w:rsidR="00DA6205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10.3%</w:t>
            </w:r>
          </w:p>
        </w:tc>
        <w:tc>
          <w:tcPr>
            <w:tcW w:w="1100" w:type="dxa"/>
            <w:tcBorders>
              <w:top w:val="single" w:sz="1" w:space="0" w:color="B7B7B7"/>
              <w:left w:val="single" w:sz="1" w:space="0" w:color="B7B7B7"/>
              <w:bottom w:val="single" w:sz="1" w:space="0" w:color="B7B7B7"/>
              <w:right w:val="single" w:sz="1" w:space="0" w:color="B7B7B7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DC6FF7" w14:textId="77777777" w:rsidR="00DA6205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1700" w:type="dxa"/>
            <w:tcBorders>
              <w:top w:val="single" w:sz="1" w:space="0" w:color="B7B7B7"/>
              <w:left w:val="single" w:sz="1" w:space="0" w:color="B7B7B7"/>
              <w:bottom w:val="single" w:sz="1" w:space="0" w:color="B7B7B7"/>
              <w:right w:val="single" w:sz="1" w:space="0" w:color="B7B7B7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FC03C68" w14:textId="77777777" w:rsidR="00DA6205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0.11</w:t>
            </w:r>
          </w:p>
        </w:tc>
      </w:tr>
      <w:tr w:rsidR="00DA6205" w14:paraId="033AEF15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B7B7B7"/>
              <w:left w:val="single" w:sz="1" w:space="0" w:color="B7B7B7"/>
              <w:bottom w:val="single" w:sz="1" w:space="0" w:color="B7B7B7"/>
              <w:right w:val="single" w:sz="1" w:space="0" w:color="B7B7B7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DF9D43C" w14:textId="77777777" w:rsidR="00DA6205" w:rsidRDefault="00000000">
            <w:r>
              <w:rPr>
                <w:b/>
                <w:bCs/>
                <w:color w:val="000000"/>
                <w:sz w:val="19"/>
                <w:szCs w:val="19"/>
              </w:rPr>
              <w:t>V123 alone (stats only)</w:t>
            </w:r>
          </w:p>
        </w:tc>
        <w:tc>
          <w:tcPr>
            <w:tcW w:w="980" w:type="dxa"/>
            <w:tcBorders>
              <w:top w:val="single" w:sz="1" w:space="0" w:color="B7B7B7"/>
              <w:left w:val="single" w:sz="1" w:space="0" w:color="B7B7B7"/>
              <w:bottom w:val="single" w:sz="1" w:space="0" w:color="B7B7B7"/>
              <w:right w:val="single" w:sz="1" w:space="0" w:color="B7B7B7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44FBE7E" w14:textId="77777777" w:rsidR="00DA6205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526</w:t>
            </w:r>
          </w:p>
        </w:tc>
        <w:tc>
          <w:tcPr>
            <w:tcW w:w="980" w:type="dxa"/>
            <w:tcBorders>
              <w:top w:val="single" w:sz="1" w:space="0" w:color="B7B7B7"/>
              <w:left w:val="single" w:sz="1" w:space="0" w:color="B7B7B7"/>
              <w:bottom w:val="single" w:sz="1" w:space="0" w:color="B7B7B7"/>
              <w:right w:val="single" w:sz="1" w:space="0" w:color="B7B7B7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4BA032" w14:textId="77777777" w:rsidR="00DA6205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29.7%</w:t>
            </w:r>
          </w:p>
        </w:tc>
        <w:tc>
          <w:tcPr>
            <w:tcW w:w="980" w:type="dxa"/>
            <w:tcBorders>
              <w:top w:val="single" w:sz="1" w:space="0" w:color="B7B7B7"/>
              <w:left w:val="single" w:sz="1" w:space="0" w:color="B7B7B7"/>
              <w:bottom w:val="single" w:sz="1" w:space="0" w:color="B7B7B7"/>
              <w:right w:val="single" w:sz="1" w:space="0" w:color="B7B7B7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A4D6F63" w14:textId="77777777" w:rsidR="00DA6205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54.2%</w:t>
            </w:r>
          </w:p>
        </w:tc>
        <w:tc>
          <w:tcPr>
            <w:tcW w:w="1100" w:type="dxa"/>
            <w:tcBorders>
              <w:top w:val="single" w:sz="1" w:space="0" w:color="B7B7B7"/>
              <w:left w:val="single" w:sz="1" w:space="0" w:color="B7B7B7"/>
              <w:bottom w:val="single" w:sz="1" w:space="0" w:color="B7B7B7"/>
              <w:right w:val="single" w:sz="1" w:space="0" w:color="B7B7B7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7B6FEE8" w14:textId="77777777" w:rsidR="00DA6205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9.5%</w:t>
            </w:r>
          </w:p>
        </w:tc>
        <w:tc>
          <w:tcPr>
            <w:tcW w:w="1100" w:type="dxa"/>
            <w:tcBorders>
              <w:top w:val="single" w:sz="1" w:space="0" w:color="B7B7B7"/>
              <w:left w:val="single" w:sz="1" w:space="0" w:color="B7B7B7"/>
              <w:bottom w:val="single" w:sz="1" w:space="0" w:color="B7B7B7"/>
              <w:right w:val="single" w:sz="1" w:space="0" w:color="B7B7B7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5DF13B" w14:textId="77777777" w:rsidR="00DA6205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1700" w:type="dxa"/>
            <w:tcBorders>
              <w:top w:val="single" w:sz="1" w:space="0" w:color="B7B7B7"/>
              <w:left w:val="single" w:sz="1" w:space="0" w:color="B7B7B7"/>
              <w:bottom w:val="single" w:sz="1" w:space="0" w:color="B7B7B7"/>
              <w:right w:val="single" w:sz="1" w:space="0" w:color="B7B7B7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8FC544C" w14:textId="77777777" w:rsidR="00DA6205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0.09</w:t>
            </w:r>
          </w:p>
        </w:tc>
      </w:tr>
      <w:tr w:rsidR="00DA6205" w14:paraId="7840D78F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B7B7B7"/>
              <w:left w:val="single" w:sz="1" w:space="0" w:color="B7B7B7"/>
              <w:bottom w:val="single" w:sz="1" w:space="0" w:color="B7B7B7"/>
              <w:right w:val="single" w:sz="1" w:space="0" w:color="B7B7B7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6F2BBB2" w14:textId="77777777" w:rsidR="00DA6205" w:rsidRDefault="00000000">
            <w:r>
              <w:rPr>
                <w:b/>
                <w:bCs/>
                <w:color w:val="000000"/>
                <w:sz w:val="19"/>
                <w:szCs w:val="19"/>
              </w:rPr>
              <w:t>Setup 1 — Union (any signal)</w:t>
            </w:r>
          </w:p>
        </w:tc>
        <w:tc>
          <w:tcPr>
            <w:tcW w:w="980" w:type="dxa"/>
            <w:tcBorders>
              <w:top w:val="single" w:sz="1" w:space="0" w:color="B7B7B7"/>
              <w:left w:val="single" w:sz="1" w:space="0" w:color="B7B7B7"/>
              <w:bottom w:val="single" w:sz="1" w:space="0" w:color="B7B7B7"/>
              <w:right w:val="single" w:sz="1" w:space="0" w:color="B7B7B7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173E96" w14:textId="77777777" w:rsidR="00DA6205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572</w:t>
            </w:r>
          </w:p>
        </w:tc>
        <w:tc>
          <w:tcPr>
            <w:tcW w:w="980" w:type="dxa"/>
            <w:tcBorders>
              <w:top w:val="single" w:sz="1" w:space="0" w:color="B7B7B7"/>
              <w:left w:val="single" w:sz="1" w:space="0" w:color="B7B7B7"/>
              <w:bottom w:val="single" w:sz="1" w:space="0" w:color="B7B7B7"/>
              <w:right w:val="single" w:sz="1" w:space="0" w:color="B7B7B7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BC8BD52" w14:textId="77777777" w:rsidR="00DA6205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32.3%</w:t>
            </w:r>
          </w:p>
        </w:tc>
        <w:tc>
          <w:tcPr>
            <w:tcW w:w="980" w:type="dxa"/>
            <w:tcBorders>
              <w:top w:val="single" w:sz="1" w:space="0" w:color="B7B7B7"/>
              <w:left w:val="single" w:sz="1" w:space="0" w:color="B7B7B7"/>
              <w:bottom w:val="single" w:sz="1" w:space="0" w:color="B7B7B7"/>
              <w:right w:val="single" w:sz="1" w:space="0" w:color="B7B7B7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13F6A0" w14:textId="77777777" w:rsidR="00DA6205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53.8%</w:t>
            </w:r>
          </w:p>
        </w:tc>
        <w:tc>
          <w:tcPr>
            <w:tcW w:w="1100" w:type="dxa"/>
            <w:tcBorders>
              <w:top w:val="single" w:sz="1" w:space="0" w:color="B7B7B7"/>
              <w:left w:val="single" w:sz="1" w:space="0" w:color="B7B7B7"/>
              <w:bottom w:val="single" w:sz="1" w:space="0" w:color="B7B7B7"/>
              <w:right w:val="single" w:sz="1" w:space="0" w:color="B7B7B7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E935B7" w14:textId="77777777" w:rsidR="00DA6205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6.7%</w:t>
            </w:r>
          </w:p>
        </w:tc>
        <w:tc>
          <w:tcPr>
            <w:tcW w:w="1100" w:type="dxa"/>
            <w:tcBorders>
              <w:top w:val="single" w:sz="1" w:space="0" w:color="B7B7B7"/>
              <w:left w:val="single" w:sz="1" w:space="0" w:color="B7B7B7"/>
              <w:bottom w:val="single" w:sz="1" w:space="0" w:color="B7B7B7"/>
              <w:right w:val="single" w:sz="1" w:space="0" w:color="B7B7B7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CBE5BEF" w14:textId="77777777" w:rsidR="00DA6205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0.9%</w:t>
            </w:r>
          </w:p>
        </w:tc>
        <w:tc>
          <w:tcPr>
            <w:tcW w:w="1700" w:type="dxa"/>
            <w:tcBorders>
              <w:top w:val="single" w:sz="1" w:space="0" w:color="B7B7B7"/>
              <w:left w:val="single" w:sz="1" w:space="0" w:color="B7B7B7"/>
              <w:bottom w:val="single" w:sz="1" w:space="0" w:color="B7B7B7"/>
              <w:right w:val="single" w:sz="1" w:space="0" w:color="B7B7B7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D9D158" w14:textId="77777777" w:rsidR="00DA6205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0.07</w:t>
            </w:r>
          </w:p>
        </w:tc>
      </w:tr>
      <w:tr w:rsidR="00DA6205" w14:paraId="09DE1312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B7B7B7"/>
              <w:left w:val="single" w:sz="1" w:space="0" w:color="B7B7B7"/>
              <w:bottom w:val="single" w:sz="1" w:space="0" w:color="B7B7B7"/>
              <w:right w:val="single" w:sz="1" w:space="0" w:color="B7B7B7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A9A8ACC" w14:textId="77777777" w:rsidR="00DA6205" w:rsidRDefault="00000000">
            <w:r>
              <w:rPr>
                <w:b/>
                <w:bCs/>
                <w:color w:val="000000"/>
                <w:sz w:val="19"/>
                <w:szCs w:val="19"/>
              </w:rPr>
              <w:t>Setup 2 — Consensus + V119-only</w:t>
            </w:r>
          </w:p>
        </w:tc>
        <w:tc>
          <w:tcPr>
            <w:tcW w:w="980" w:type="dxa"/>
            <w:tcBorders>
              <w:top w:val="single" w:sz="1" w:space="0" w:color="B7B7B7"/>
              <w:left w:val="single" w:sz="1" w:space="0" w:color="B7B7B7"/>
              <w:bottom w:val="single" w:sz="1" w:space="0" w:color="B7B7B7"/>
              <w:right w:val="single" w:sz="1" w:space="0" w:color="B7B7B7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5CBAC12" w14:textId="77777777" w:rsidR="00DA6205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320</w:t>
            </w:r>
          </w:p>
        </w:tc>
        <w:tc>
          <w:tcPr>
            <w:tcW w:w="980" w:type="dxa"/>
            <w:tcBorders>
              <w:top w:val="single" w:sz="1" w:space="0" w:color="B7B7B7"/>
              <w:left w:val="single" w:sz="1" w:space="0" w:color="B7B7B7"/>
              <w:bottom w:val="single" w:sz="1" w:space="0" w:color="B7B7B7"/>
              <w:right w:val="single" w:sz="1" w:space="0" w:color="B7B7B7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19500F6" w14:textId="77777777" w:rsidR="00DA6205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18.1%</w:t>
            </w:r>
          </w:p>
        </w:tc>
        <w:tc>
          <w:tcPr>
            <w:tcW w:w="980" w:type="dxa"/>
            <w:tcBorders>
              <w:top w:val="single" w:sz="1" w:space="0" w:color="B7B7B7"/>
              <w:left w:val="single" w:sz="1" w:space="0" w:color="B7B7B7"/>
              <w:bottom w:val="single" w:sz="1" w:space="0" w:color="B7B7B7"/>
              <w:right w:val="single" w:sz="1" w:space="0" w:color="B7B7B7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52AFB7" w14:textId="77777777" w:rsidR="00DA6205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58.8%</w:t>
            </w:r>
          </w:p>
        </w:tc>
        <w:tc>
          <w:tcPr>
            <w:tcW w:w="1100" w:type="dxa"/>
            <w:tcBorders>
              <w:top w:val="single" w:sz="1" w:space="0" w:color="B7B7B7"/>
              <w:left w:val="single" w:sz="1" w:space="0" w:color="B7B7B7"/>
              <w:bottom w:val="single" w:sz="1" w:space="0" w:color="B7B7B7"/>
              <w:right w:val="single" w:sz="1" w:space="0" w:color="B7B7B7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2BCADC" w14:textId="77777777" w:rsidR="00DA6205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13.3%</w:t>
            </w:r>
          </w:p>
        </w:tc>
        <w:tc>
          <w:tcPr>
            <w:tcW w:w="1100" w:type="dxa"/>
            <w:tcBorders>
              <w:top w:val="single" w:sz="1" w:space="0" w:color="B7B7B7"/>
              <w:left w:val="single" w:sz="1" w:space="0" w:color="B7B7B7"/>
              <w:bottom w:val="single" w:sz="1" w:space="0" w:color="B7B7B7"/>
              <w:right w:val="single" w:sz="1" w:space="0" w:color="B7B7B7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A12296B" w14:textId="77777777" w:rsidR="00DA6205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8.9%</w:t>
            </w:r>
          </w:p>
        </w:tc>
        <w:tc>
          <w:tcPr>
            <w:tcW w:w="1700" w:type="dxa"/>
            <w:tcBorders>
              <w:top w:val="single" w:sz="1" w:space="0" w:color="B7B7B7"/>
              <w:left w:val="single" w:sz="1" w:space="0" w:color="B7B7B7"/>
              <w:bottom w:val="single" w:sz="1" w:space="0" w:color="B7B7B7"/>
              <w:right w:val="single" w:sz="1" w:space="0" w:color="B7B7B7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5CBE35C" w14:textId="77777777" w:rsidR="00DA6205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0.14</w:t>
            </w:r>
          </w:p>
        </w:tc>
      </w:tr>
      <w:tr w:rsidR="00DA6205" w14:paraId="2456A3F9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B7B7B7"/>
              <w:left w:val="single" w:sz="1" w:space="0" w:color="B7B7B7"/>
              <w:bottom w:val="single" w:sz="1" w:space="0" w:color="B7B7B7"/>
              <w:right w:val="single" w:sz="1" w:space="0" w:color="B7B7B7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78E5A6E" w14:textId="77777777" w:rsidR="00DA6205" w:rsidRDefault="00000000">
            <w:r>
              <w:rPr>
                <w:b/>
                <w:bCs/>
                <w:color w:val="000000"/>
                <w:sz w:val="19"/>
                <w:szCs w:val="19"/>
              </w:rPr>
              <w:t>Setup 3 — Consensus + V123-only</w:t>
            </w:r>
          </w:p>
        </w:tc>
        <w:tc>
          <w:tcPr>
            <w:tcW w:w="980" w:type="dxa"/>
            <w:tcBorders>
              <w:top w:val="single" w:sz="1" w:space="0" w:color="B7B7B7"/>
              <w:left w:val="single" w:sz="1" w:space="0" w:color="B7B7B7"/>
              <w:bottom w:val="single" w:sz="1" w:space="0" w:color="B7B7B7"/>
              <w:right w:val="single" w:sz="1" w:space="0" w:color="B7B7B7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2FECFA" w14:textId="77777777" w:rsidR="00DA6205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444</w:t>
            </w:r>
          </w:p>
        </w:tc>
        <w:tc>
          <w:tcPr>
            <w:tcW w:w="980" w:type="dxa"/>
            <w:tcBorders>
              <w:top w:val="single" w:sz="1" w:space="0" w:color="B7B7B7"/>
              <w:left w:val="single" w:sz="1" w:space="0" w:color="B7B7B7"/>
              <w:bottom w:val="single" w:sz="1" w:space="0" w:color="B7B7B7"/>
              <w:right w:val="single" w:sz="1" w:space="0" w:color="B7B7B7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8A30372" w14:textId="77777777" w:rsidR="00DA6205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25.1%</w:t>
            </w:r>
          </w:p>
        </w:tc>
        <w:tc>
          <w:tcPr>
            <w:tcW w:w="980" w:type="dxa"/>
            <w:tcBorders>
              <w:top w:val="single" w:sz="1" w:space="0" w:color="B7B7B7"/>
              <w:left w:val="single" w:sz="1" w:space="0" w:color="B7B7B7"/>
              <w:bottom w:val="single" w:sz="1" w:space="0" w:color="B7B7B7"/>
              <w:right w:val="single" w:sz="1" w:space="0" w:color="B7B7B7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0C7F0F9" w14:textId="77777777" w:rsidR="00DA6205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53.2%</w:t>
            </w:r>
          </w:p>
        </w:tc>
        <w:tc>
          <w:tcPr>
            <w:tcW w:w="1100" w:type="dxa"/>
            <w:tcBorders>
              <w:top w:val="single" w:sz="1" w:space="0" w:color="B7B7B7"/>
              <w:left w:val="single" w:sz="1" w:space="0" w:color="B7B7B7"/>
              <w:bottom w:val="single" w:sz="1" w:space="0" w:color="B7B7B7"/>
              <w:right w:val="single" w:sz="1" w:space="0" w:color="B7B7B7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1746203" w14:textId="77777777" w:rsidR="00DA6205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7.4%</w:t>
            </w:r>
          </w:p>
        </w:tc>
        <w:tc>
          <w:tcPr>
            <w:tcW w:w="1100" w:type="dxa"/>
            <w:tcBorders>
              <w:top w:val="single" w:sz="1" w:space="0" w:color="B7B7B7"/>
              <w:left w:val="single" w:sz="1" w:space="0" w:color="B7B7B7"/>
              <w:bottom w:val="single" w:sz="1" w:space="0" w:color="B7B7B7"/>
              <w:right w:val="single" w:sz="1" w:space="0" w:color="B7B7B7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8E0F9F5" w14:textId="77777777" w:rsidR="00DA6205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−0.2%</w:t>
            </w:r>
          </w:p>
        </w:tc>
        <w:tc>
          <w:tcPr>
            <w:tcW w:w="1700" w:type="dxa"/>
            <w:tcBorders>
              <w:top w:val="single" w:sz="1" w:space="0" w:color="B7B7B7"/>
              <w:left w:val="single" w:sz="1" w:space="0" w:color="B7B7B7"/>
              <w:bottom w:val="single" w:sz="1" w:space="0" w:color="B7B7B7"/>
              <w:right w:val="single" w:sz="1" w:space="0" w:color="B7B7B7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E22948" w14:textId="77777777" w:rsidR="00DA6205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0.07</w:t>
            </w:r>
          </w:p>
        </w:tc>
      </w:tr>
      <w:tr w:rsidR="00DA6205" w14:paraId="10583C04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B7B7B7"/>
              <w:left w:val="single" w:sz="1" w:space="0" w:color="B7B7B7"/>
              <w:bottom w:val="single" w:sz="1" w:space="0" w:color="B7B7B7"/>
              <w:right w:val="single" w:sz="1" w:space="0" w:color="B7B7B7"/>
            </w:tcBorders>
            <w:shd w:val="clear" w:color="auto" w:fill="E2EFD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ADD41C1" w14:textId="77777777" w:rsidR="00DA6205" w:rsidRDefault="00000000">
            <w:r>
              <w:rPr>
                <w:b/>
                <w:bCs/>
                <w:color w:val="000000"/>
                <w:sz w:val="19"/>
                <w:szCs w:val="19"/>
              </w:rPr>
              <w:t>Setup 4 — Consensus ONLY</w:t>
            </w:r>
          </w:p>
        </w:tc>
        <w:tc>
          <w:tcPr>
            <w:tcW w:w="980" w:type="dxa"/>
            <w:tcBorders>
              <w:top w:val="single" w:sz="1" w:space="0" w:color="B7B7B7"/>
              <w:left w:val="single" w:sz="1" w:space="0" w:color="B7B7B7"/>
              <w:bottom w:val="single" w:sz="1" w:space="0" w:color="B7B7B7"/>
              <w:right w:val="single" w:sz="1" w:space="0" w:color="B7B7B7"/>
            </w:tcBorders>
            <w:shd w:val="clear" w:color="auto" w:fill="E2EFD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53048BB" w14:textId="77777777" w:rsidR="00DA6205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192</w:t>
            </w:r>
          </w:p>
        </w:tc>
        <w:tc>
          <w:tcPr>
            <w:tcW w:w="980" w:type="dxa"/>
            <w:tcBorders>
              <w:top w:val="single" w:sz="1" w:space="0" w:color="B7B7B7"/>
              <w:left w:val="single" w:sz="1" w:space="0" w:color="B7B7B7"/>
              <w:bottom w:val="single" w:sz="1" w:space="0" w:color="B7B7B7"/>
              <w:right w:val="single" w:sz="1" w:space="0" w:color="B7B7B7"/>
            </w:tcBorders>
            <w:shd w:val="clear" w:color="auto" w:fill="E2EFD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862E994" w14:textId="77777777" w:rsidR="00DA6205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10.8%</w:t>
            </w:r>
          </w:p>
        </w:tc>
        <w:tc>
          <w:tcPr>
            <w:tcW w:w="980" w:type="dxa"/>
            <w:tcBorders>
              <w:top w:val="single" w:sz="1" w:space="0" w:color="B7B7B7"/>
              <w:left w:val="single" w:sz="1" w:space="0" w:color="B7B7B7"/>
              <w:bottom w:val="single" w:sz="1" w:space="0" w:color="B7B7B7"/>
              <w:right w:val="single" w:sz="1" w:space="0" w:color="B7B7B7"/>
            </w:tcBorders>
            <w:shd w:val="clear" w:color="auto" w:fill="E2EFD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5A79CB8" w14:textId="77777777" w:rsidR="00DA6205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60.4%</w:t>
            </w:r>
          </w:p>
        </w:tc>
        <w:tc>
          <w:tcPr>
            <w:tcW w:w="1100" w:type="dxa"/>
            <w:tcBorders>
              <w:top w:val="single" w:sz="1" w:space="0" w:color="B7B7B7"/>
              <w:left w:val="single" w:sz="1" w:space="0" w:color="B7B7B7"/>
              <w:bottom w:val="single" w:sz="1" w:space="0" w:color="B7B7B7"/>
              <w:right w:val="single" w:sz="1" w:space="0" w:color="B7B7B7"/>
            </w:tcBorders>
            <w:shd w:val="clear" w:color="auto" w:fill="E2EFD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A342366" w14:textId="77777777" w:rsidR="00DA6205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19.3%</w:t>
            </w:r>
          </w:p>
        </w:tc>
        <w:tc>
          <w:tcPr>
            <w:tcW w:w="1100" w:type="dxa"/>
            <w:tcBorders>
              <w:top w:val="single" w:sz="1" w:space="0" w:color="B7B7B7"/>
              <w:left w:val="single" w:sz="1" w:space="0" w:color="B7B7B7"/>
              <w:bottom w:val="single" w:sz="1" w:space="0" w:color="B7B7B7"/>
              <w:right w:val="single" w:sz="1" w:space="0" w:color="B7B7B7"/>
            </w:tcBorders>
            <w:shd w:val="clear" w:color="auto" w:fill="E2EFD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D3ED0C0" w14:textId="77777777" w:rsidR="00DA6205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12.0%</w:t>
            </w:r>
          </w:p>
        </w:tc>
        <w:tc>
          <w:tcPr>
            <w:tcW w:w="1700" w:type="dxa"/>
            <w:tcBorders>
              <w:top w:val="single" w:sz="1" w:space="0" w:color="B7B7B7"/>
              <w:left w:val="single" w:sz="1" w:space="0" w:color="B7B7B7"/>
              <w:bottom w:val="single" w:sz="1" w:space="0" w:color="B7B7B7"/>
              <w:right w:val="single" w:sz="1" w:space="0" w:color="B7B7B7"/>
            </w:tcBorders>
            <w:shd w:val="clear" w:color="auto" w:fill="E2EFD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DDB47A3" w14:textId="77777777" w:rsidR="00DA6205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0.20</w:t>
            </w:r>
          </w:p>
        </w:tc>
      </w:tr>
    </w:tbl>
    <w:p w14:paraId="24032C6A" w14:textId="77777777" w:rsidR="00DA6205" w:rsidRDefault="00000000">
      <w:pPr>
        <w:spacing w:before="40" w:after="180"/>
      </w:pPr>
      <w:r>
        <w:rPr>
          <w:i/>
          <w:iCs/>
          <w:color w:val="595959"/>
          <w:sz w:val="17"/>
          <w:szCs w:val="17"/>
        </w:rPr>
        <w:t xml:space="preserve">Full </w:t>
      </w:r>
      <w:proofErr w:type="spellStart"/>
      <w:r>
        <w:rPr>
          <w:i/>
          <w:iCs/>
          <w:color w:val="595959"/>
          <w:sz w:val="17"/>
          <w:szCs w:val="17"/>
        </w:rPr>
        <w:t>outsample</w:t>
      </w:r>
      <w:proofErr w:type="spellEnd"/>
      <w:r>
        <w:rPr>
          <w:i/>
          <w:iCs/>
          <w:color w:val="595959"/>
          <w:sz w:val="17"/>
          <w:szCs w:val="17"/>
        </w:rPr>
        <w:t xml:space="preserve">, flat 1-unit stakes. The live policy full-stakes consensus DOGS (the +18.8% full / +19.1% 2026 core), half-stakes consensus </w:t>
      </w:r>
      <w:proofErr w:type="spellStart"/>
      <w:r>
        <w:rPr>
          <w:i/>
          <w:iCs/>
          <w:color w:val="595959"/>
          <w:sz w:val="17"/>
          <w:szCs w:val="17"/>
        </w:rPr>
        <w:t>faves</w:t>
      </w:r>
      <w:proofErr w:type="spellEnd"/>
      <w:r>
        <w:rPr>
          <w:i/>
          <w:iCs/>
          <w:color w:val="595959"/>
          <w:sz w:val="17"/>
          <w:szCs w:val="17"/>
        </w:rPr>
        <w:t>, and never plays V123 alone.</w:t>
      </w:r>
    </w:p>
    <w:p w14:paraId="28CB9283" w14:textId="77777777" w:rsidR="00DA6205" w:rsidRDefault="00000000">
      <w:pPr>
        <w:spacing w:after="140" w:line="276" w:lineRule="auto"/>
      </w:pPr>
      <w:r>
        <w:t>The cell that carries the book the rest of the year is consensus dogs at full stake. That is also the cell that looks worst in June — which is why what we do with it now matters so much, and why we should be careful not to act on noise in either direction.</w:t>
      </w:r>
    </w:p>
    <w:p w14:paraId="24C06151" w14:textId="77777777" w:rsidR="00DA6205" w:rsidRDefault="00000000">
      <w:pPr>
        <w:pStyle w:val="Heading1"/>
      </w:pPr>
      <w:r>
        <w:t>4.  The June problem — what the data shows, and how thin it is</w:t>
      </w:r>
    </w:p>
    <w:p w14:paraId="03621CF9" w14:textId="77777777" w:rsidR="00DA6205" w:rsidRDefault="00000000">
      <w:pPr>
        <w:spacing w:after="140" w:line="276" w:lineRule="auto"/>
      </w:pPr>
      <w:r>
        <w:t>Broken out by side, the same pattern appears in both Junes and every variant: favourites win, underdogs lose. But the sample sizes demand humility.</w:t>
      </w:r>
    </w:p>
    <w:p w14:paraId="65FE26F0" w14:textId="77777777" w:rsidR="00DA6205" w:rsidRDefault="00000000">
      <w:pPr>
        <w:pStyle w:val="Heading2"/>
      </w:pPr>
      <w:proofErr w:type="gramStart"/>
      <w:r>
        <w:t>4.1  June</w:t>
      </w:r>
      <w:proofErr w:type="gramEnd"/>
      <w:r>
        <w:t xml:space="preserve"> 2025 (inside the </w:t>
      </w:r>
      <w:proofErr w:type="spellStart"/>
      <w:r>
        <w:t>outsample</w:t>
      </w:r>
      <w:proofErr w:type="spellEnd"/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60"/>
        <w:gridCol w:w="1100"/>
        <w:gridCol w:w="1100"/>
        <w:gridCol w:w="1300"/>
        <w:gridCol w:w="1500"/>
        <w:gridCol w:w="1500"/>
      </w:tblGrid>
      <w:tr w:rsidR="00DA6205" w14:paraId="37BBCE3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60" w:type="dxa"/>
            <w:tcBorders>
              <w:top w:val="single" w:sz="1" w:space="0" w:color="B7B7B7"/>
              <w:left w:val="single" w:sz="1" w:space="0" w:color="B7B7B7"/>
              <w:bottom w:val="single" w:sz="1" w:space="0" w:color="B7B7B7"/>
              <w:right w:val="single" w:sz="1" w:space="0" w:color="B7B7B7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228C503" w14:textId="77777777" w:rsidR="00DA6205" w:rsidRDefault="00000000">
            <w:r>
              <w:rPr>
                <w:b/>
                <w:bCs/>
                <w:color w:val="FFFFFF"/>
                <w:sz w:val="19"/>
                <w:szCs w:val="19"/>
              </w:rPr>
              <w:t>Variant</w:t>
            </w:r>
          </w:p>
        </w:tc>
        <w:tc>
          <w:tcPr>
            <w:tcW w:w="1100" w:type="dxa"/>
            <w:tcBorders>
              <w:top w:val="single" w:sz="1" w:space="0" w:color="B7B7B7"/>
              <w:left w:val="single" w:sz="1" w:space="0" w:color="B7B7B7"/>
              <w:bottom w:val="single" w:sz="1" w:space="0" w:color="B7B7B7"/>
              <w:right w:val="single" w:sz="1" w:space="0" w:color="B7B7B7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11AFFA5" w14:textId="77777777" w:rsidR="00DA6205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Plays</w:t>
            </w:r>
          </w:p>
        </w:tc>
        <w:tc>
          <w:tcPr>
            <w:tcW w:w="1100" w:type="dxa"/>
            <w:tcBorders>
              <w:top w:val="single" w:sz="1" w:space="0" w:color="B7B7B7"/>
              <w:left w:val="single" w:sz="1" w:space="0" w:color="B7B7B7"/>
              <w:bottom w:val="single" w:sz="1" w:space="0" w:color="B7B7B7"/>
              <w:right w:val="single" w:sz="1" w:space="0" w:color="B7B7B7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3CE4AF0" w14:textId="77777777" w:rsidR="00DA6205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Win %</w:t>
            </w:r>
          </w:p>
        </w:tc>
        <w:tc>
          <w:tcPr>
            <w:tcW w:w="1300" w:type="dxa"/>
            <w:tcBorders>
              <w:top w:val="single" w:sz="1" w:space="0" w:color="B7B7B7"/>
              <w:left w:val="single" w:sz="1" w:space="0" w:color="B7B7B7"/>
              <w:bottom w:val="single" w:sz="1" w:space="0" w:color="B7B7B7"/>
              <w:right w:val="single" w:sz="1" w:space="0" w:color="B7B7B7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1DA589" w14:textId="77777777" w:rsidR="00DA6205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ROI</w:t>
            </w:r>
          </w:p>
        </w:tc>
        <w:tc>
          <w:tcPr>
            <w:tcW w:w="1500" w:type="dxa"/>
            <w:tcBorders>
              <w:top w:val="single" w:sz="1" w:space="0" w:color="B7B7B7"/>
              <w:left w:val="single" w:sz="1" w:space="0" w:color="B7B7B7"/>
              <w:bottom w:val="single" w:sz="1" w:space="0" w:color="B7B7B7"/>
              <w:right w:val="single" w:sz="1" w:space="0" w:color="B7B7B7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647C7E" w14:textId="77777777" w:rsidR="00DA620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Fave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ROI</w:t>
            </w:r>
          </w:p>
        </w:tc>
        <w:tc>
          <w:tcPr>
            <w:tcW w:w="1500" w:type="dxa"/>
            <w:tcBorders>
              <w:top w:val="single" w:sz="1" w:space="0" w:color="B7B7B7"/>
              <w:left w:val="single" w:sz="1" w:space="0" w:color="B7B7B7"/>
              <w:bottom w:val="single" w:sz="1" w:space="0" w:color="B7B7B7"/>
              <w:right w:val="single" w:sz="1" w:space="0" w:color="B7B7B7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08D40D" w14:textId="77777777" w:rsidR="00DA6205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Dog ROI</w:t>
            </w:r>
          </w:p>
        </w:tc>
      </w:tr>
      <w:tr w:rsidR="00DA6205" w14:paraId="22CEC89B" w14:textId="77777777">
        <w:tblPrEx>
          <w:tblCellMar>
            <w:top w:w="0" w:type="dxa"/>
            <w:bottom w:w="0" w:type="dxa"/>
          </w:tblCellMar>
        </w:tblPrEx>
        <w:tc>
          <w:tcPr>
            <w:tcW w:w="2860" w:type="dxa"/>
            <w:tcBorders>
              <w:top w:val="single" w:sz="1" w:space="0" w:color="B7B7B7"/>
              <w:left w:val="single" w:sz="1" w:space="0" w:color="B7B7B7"/>
              <w:bottom w:val="single" w:sz="1" w:space="0" w:color="B7B7B7"/>
              <w:right w:val="single" w:sz="1" w:space="0" w:color="B7B7B7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AE3D9FE" w14:textId="77777777" w:rsidR="00DA6205" w:rsidRDefault="00000000">
            <w:r>
              <w:rPr>
                <w:b/>
                <w:bCs/>
                <w:color w:val="000000"/>
                <w:sz w:val="19"/>
                <w:szCs w:val="19"/>
              </w:rPr>
              <w:t>V119 ensemble</w:t>
            </w:r>
          </w:p>
        </w:tc>
        <w:tc>
          <w:tcPr>
            <w:tcW w:w="1100" w:type="dxa"/>
            <w:tcBorders>
              <w:top w:val="single" w:sz="1" w:space="0" w:color="B7B7B7"/>
              <w:left w:val="single" w:sz="1" w:space="0" w:color="B7B7B7"/>
              <w:bottom w:val="single" w:sz="1" w:space="0" w:color="B7B7B7"/>
              <w:right w:val="single" w:sz="1" w:space="0" w:color="B7B7B7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2ECB53" w14:textId="77777777" w:rsidR="00DA6205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44</w:t>
            </w:r>
          </w:p>
        </w:tc>
        <w:tc>
          <w:tcPr>
            <w:tcW w:w="1100" w:type="dxa"/>
            <w:tcBorders>
              <w:top w:val="single" w:sz="1" w:space="0" w:color="B7B7B7"/>
              <w:left w:val="single" w:sz="1" w:space="0" w:color="B7B7B7"/>
              <w:bottom w:val="single" w:sz="1" w:space="0" w:color="B7B7B7"/>
              <w:right w:val="single" w:sz="1" w:space="0" w:color="B7B7B7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83B1820" w14:textId="77777777" w:rsidR="00DA6205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56.8%</w:t>
            </w:r>
          </w:p>
        </w:tc>
        <w:tc>
          <w:tcPr>
            <w:tcW w:w="1300" w:type="dxa"/>
            <w:tcBorders>
              <w:top w:val="single" w:sz="1" w:space="0" w:color="B7B7B7"/>
              <w:left w:val="single" w:sz="1" w:space="0" w:color="B7B7B7"/>
              <w:bottom w:val="single" w:sz="1" w:space="0" w:color="B7B7B7"/>
              <w:right w:val="single" w:sz="1" w:space="0" w:color="B7B7B7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E196FD2" w14:textId="77777777" w:rsidR="00DA6205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+7.5%</w:t>
            </w:r>
          </w:p>
        </w:tc>
        <w:tc>
          <w:tcPr>
            <w:tcW w:w="1500" w:type="dxa"/>
            <w:tcBorders>
              <w:top w:val="single" w:sz="1" w:space="0" w:color="B7B7B7"/>
              <w:left w:val="single" w:sz="1" w:space="0" w:color="B7B7B7"/>
              <w:bottom w:val="single" w:sz="1" w:space="0" w:color="B7B7B7"/>
              <w:right w:val="single" w:sz="1" w:space="0" w:color="B7B7B7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0E3B037" w14:textId="77777777" w:rsidR="00DA6205" w:rsidRDefault="00000000">
            <w:pPr>
              <w:jc w:val="center"/>
            </w:pPr>
            <w:r>
              <w:rPr>
                <w:b/>
                <w:bCs/>
                <w:color w:val="2E7D32"/>
                <w:sz w:val="19"/>
                <w:szCs w:val="19"/>
              </w:rPr>
              <w:t>+26.8%</w:t>
            </w:r>
          </w:p>
        </w:tc>
        <w:tc>
          <w:tcPr>
            <w:tcW w:w="1500" w:type="dxa"/>
            <w:tcBorders>
              <w:top w:val="single" w:sz="1" w:space="0" w:color="B7B7B7"/>
              <w:left w:val="single" w:sz="1" w:space="0" w:color="B7B7B7"/>
              <w:bottom w:val="single" w:sz="1" w:space="0" w:color="B7B7B7"/>
              <w:right w:val="single" w:sz="1" w:space="0" w:color="B7B7B7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EC2185" w14:textId="77777777" w:rsidR="00DA6205" w:rsidRDefault="00000000">
            <w:pPr>
              <w:jc w:val="center"/>
            </w:pPr>
            <w:r>
              <w:rPr>
                <w:b/>
                <w:bCs/>
                <w:color w:val="C0392B"/>
                <w:sz w:val="19"/>
                <w:szCs w:val="19"/>
              </w:rPr>
              <w:t>−13.7%</w:t>
            </w:r>
          </w:p>
        </w:tc>
      </w:tr>
      <w:tr w:rsidR="00DA6205" w14:paraId="3ABBA75C" w14:textId="77777777">
        <w:tblPrEx>
          <w:tblCellMar>
            <w:top w:w="0" w:type="dxa"/>
            <w:bottom w:w="0" w:type="dxa"/>
          </w:tblCellMar>
        </w:tblPrEx>
        <w:tc>
          <w:tcPr>
            <w:tcW w:w="2860" w:type="dxa"/>
            <w:tcBorders>
              <w:top w:val="single" w:sz="1" w:space="0" w:color="B7B7B7"/>
              <w:left w:val="single" w:sz="1" w:space="0" w:color="B7B7B7"/>
              <w:bottom w:val="single" w:sz="1" w:space="0" w:color="B7B7B7"/>
              <w:right w:val="single" w:sz="1" w:space="0" w:color="B7B7B7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1F29B40" w14:textId="77777777" w:rsidR="00DA6205" w:rsidRDefault="00000000">
            <w:r>
              <w:rPr>
                <w:b/>
                <w:bCs/>
                <w:color w:val="000000"/>
                <w:sz w:val="19"/>
                <w:szCs w:val="19"/>
              </w:rPr>
              <w:t>V123 ensemble</w:t>
            </w:r>
          </w:p>
        </w:tc>
        <w:tc>
          <w:tcPr>
            <w:tcW w:w="1100" w:type="dxa"/>
            <w:tcBorders>
              <w:top w:val="single" w:sz="1" w:space="0" w:color="B7B7B7"/>
              <w:left w:val="single" w:sz="1" w:space="0" w:color="B7B7B7"/>
              <w:bottom w:val="single" w:sz="1" w:space="0" w:color="B7B7B7"/>
              <w:right w:val="single" w:sz="1" w:space="0" w:color="B7B7B7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3AE841" w14:textId="77777777" w:rsidR="00DA6205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73</w:t>
            </w:r>
          </w:p>
        </w:tc>
        <w:tc>
          <w:tcPr>
            <w:tcW w:w="1100" w:type="dxa"/>
            <w:tcBorders>
              <w:top w:val="single" w:sz="1" w:space="0" w:color="B7B7B7"/>
              <w:left w:val="single" w:sz="1" w:space="0" w:color="B7B7B7"/>
              <w:bottom w:val="single" w:sz="1" w:space="0" w:color="B7B7B7"/>
              <w:right w:val="single" w:sz="1" w:space="0" w:color="B7B7B7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5ECBECA" w14:textId="77777777" w:rsidR="00DA6205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46.6%</w:t>
            </w:r>
          </w:p>
        </w:tc>
        <w:tc>
          <w:tcPr>
            <w:tcW w:w="1300" w:type="dxa"/>
            <w:tcBorders>
              <w:top w:val="single" w:sz="1" w:space="0" w:color="B7B7B7"/>
              <w:left w:val="single" w:sz="1" w:space="0" w:color="B7B7B7"/>
              <w:bottom w:val="single" w:sz="1" w:space="0" w:color="B7B7B7"/>
              <w:right w:val="single" w:sz="1" w:space="0" w:color="B7B7B7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65FEF33" w14:textId="77777777" w:rsidR="00DA6205" w:rsidRDefault="00000000">
            <w:pPr>
              <w:jc w:val="center"/>
            </w:pPr>
            <w:r>
              <w:rPr>
                <w:b/>
                <w:bCs/>
                <w:color w:val="C0392B"/>
                <w:sz w:val="19"/>
                <w:szCs w:val="19"/>
              </w:rPr>
              <w:t>−5.7%</w:t>
            </w:r>
          </w:p>
        </w:tc>
        <w:tc>
          <w:tcPr>
            <w:tcW w:w="1500" w:type="dxa"/>
            <w:tcBorders>
              <w:top w:val="single" w:sz="1" w:space="0" w:color="B7B7B7"/>
              <w:left w:val="single" w:sz="1" w:space="0" w:color="B7B7B7"/>
              <w:bottom w:val="single" w:sz="1" w:space="0" w:color="B7B7B7"/>
              <w:right w:val="single" w:sz="1" w:space="0" w:color="B7B7B7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6861A0" w14:textId="77777777" w:rsidR="00DA6205" w:rsidRDefault="00000000">
            <w:pPr>
              <w:jc w:val="center"/>
            </w:pPr>
            <w:r>
              <w:rPr>
                <w:b/>
                <w:bCs/>
                <w:color w:val="2E7D32"/>
                <w:sz w:val="19"/>
                <w:szCs w:val="19"/>
              </w:rPr>
              <w:t>+34.1%</w:t>
            </w:r>
          </w:p>
        </w:tc>
        <w:tc>
          <w:tcPr>
            <w:tcW w:w="1500" w:type="dxa"/>
            <w:tcBorders>
              <w:top w:val="single" w:sz="1" w:space="0" w:color="B7B7B7"/>
              <w:left w:val="single" w:sz="1" w:space="0" w:color="B7B7B7"/>
              <w:bottom w:val="single" w:sz="1" w:space="0" w:color="B7B7B7"/>
              <w:right w:val="single" w:sz="1" w:space="0" w:color="B7B7B7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475EAC1" w14:textId="77777777" w:rsidR="00DA6205" w:rsidRDefault="00000000">
            <w:pPr>
              <w:jc w:val="center"/>
            </w:pPr>
            <w:r>
              <w:rPr>
                <w:b/>
                <w:bCs/>
                <w:color w:val="C0392B"/>
                <w:sz w:val="19"/>
                <w:szCs w:val="19"/>
              </w:rPr>
              <w:t>−15.2%</w:t>
            </w:r>
          </w:p>
        </w:tc>
      </w:tr>
      <w:tr w:rsidR="00DA6205" w14:paraId="20690AE0" w14:textId="77777777">
        <w:tblPrEx>
          <w:tblCellMar>
            <w:top w:w="0" w:type="dxa"/>
            <w:bottom w:w="0" w:type="dxa"/>
          </w:tblCellMar>
        </w:tblPrEx>
        <w:tc>
          <w:tcPr>
            <w:tcW w:w="2860" w:type="dxa"/>
            <w:tcBorders>
              <w:top w:val="single" w:sz="1" w:space="0" w:color="B7B7B7"/>
              <w:left w:val="single" w:sz="1" w:space="0" w:color="B7B7B7"/>
              <w:bottom w:val="single" w:sz="1" w:space="0" w:color="B7B7B7"/>
              <w:right w:val="single" w:sz="1" w:space="0" w:color="B7B7B7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C104592" w14:textId="77777777" w:rsidR="00DA6205" w:rsidRDefault="00000000">
            <w:r>
              <w:rPr>
                <w:b/>
                <w:bCs/>
                <w:color w:val="000000"/>
                <w:sz w:val="19"/>
                <w:szCs w:val="19"/>
              </w:rPr>
              <w:t>V123 (−115 to 150 band)</w:t>
            </w:r>
          </w:p>
        </w:tc>
        <w:tc>
          <w:tcPr>
            <w:tcW w:w="1100" w:type="dxa"/>
            <w:tcBorders>
              <w:top w:val="single" w:sz="1" w:space="0" w:color="B7B7B7"/>
              <w:left w:val="single" w:sz="1" w:space="0" w:color="B7B7B7"/>
              <w:bottom w:val="single" w:sz="1" w:space="0" w:color="B7B7B7"/>
              <w:right w:val="single" w:sz="1" w:space="0" w:color="B7B7B7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749C104" w14:textId="77777777" w:rsidR="00DA6205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54</w:t>
            </w:r>
          </w:p>
        </w:tc>
        <w:tc>
          <w:tcPr>
            <w:tcW w:w="1100" w:type="dxa"/>
            <w:tcBorders>
              <w:top w:val="single" w:sz="1" w:space="0" w:color="B7B7B7"/>
              <w:left w:val="single" w:sz="1" w:space="0" w:color="B7B7B7"/>
              <w:bottom w:val="single" w:sz="1" w:space="0" w:color="B7B7B7"/>
              <w:right w:val="single" w:sz="1" w:space="0" w:color="B7B7B7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7E7B29" w14:textId="77777777" w:rsidR="00DA6205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48.1%</w:t>
            </w:r>
          </w:p>
        </w:tc>
        <w:tc>
          <w:tcPr>
            <w:tcW w:w="1300" w:type="dxa"/>
            <w:tcBorders>
              <w:top w:val="single" w:sz="1" w:space="0" w:color="B7B7B7"/>
              <w:left w:val="single" w:sz="1" w:space="0" w:color="B7B7B7"/>
              <w:bottom w:val="single" w:sz="1" w:space="0" w:color="B7B7B7"/>
              <w:right w:val="single" w:sz="1" w:space="0" w:color="B7B7B7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647C364" w14:textId="77777777" w:rsidR="00DA6205" w:rsidRDefault="00000000">
            <w:pPr>
              <w:jc w:val="center"/>
            </w:pPr>
            <w:r>
              <w:rPr>
                <w:b/>
                <w:bCs/>
                <w:color w:val="C0392B"/>
                <w:sz w:val="19"/>
                <w:szCs w:val="19"/>
              </w:rPr>
              <w:t>−1.8%</w:t>
            </w:r>
          </w:p>
        </w:tc>
        <w:tc>
          <w:tcPr>
            <w:tcW w:w="1500" w:type="dxa"/>
            <w:tcBorders>
              <w:top w:val="single" w:sz="1" w:space="0" w:color="B7B7B7"/>
              <w:left w:val="single" w:sz="1" w:space="0" w:color="B7B7B7"/>
              <w:bottom w:val="single" w:sz="1" w:space="0" w:color="B7B7B7"/>
              <w:right w:val="single" w:sz="1" w:space="0" w:color="B7B7B7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A1F9197" w14:textId="77777777" w:rsidR="00DA6205" w:rsidRDefault="00000000">
            <w:pPr>
              <w:jc w:val="center"/>
            </w:pPr>
            <w:r>
              <w:rPr>
                <w:b/>
                <w:bCs/>
                <w:color w:val="2E7D32"/>
                <w:sz w:val="19"/>
                <w:szCs w:val="19"/>
              </w:rPr>
              <w:t>+34.0%</w:t>
            </w:r>
          </w:p>
        </w:tc>
        <w:tc>
          <w:tcPr>
            <w:tcW w:w="1500" w:type="dxa"/>
            <w:tcBorders>
              <w:top w:val="single" w:sz="1" w:space="0" w:color="B7B7B7"/>
              <w:left w:val="single" w:sz="1" w:space="0" w:color="B7B7B7"/>
              <w:bottom w:val="single" w:sz="1" w:space="0" w:color="B7B7B7"/>
              <w:right w:val="single" w:sz="1" w:space="0" w:color="B7B7B7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8214BE3" w14:textId="77777777" w:rsidR="00DA6205" w:rsidRDefault="00000000">
            <w:pPr>
              <w:jc w:val="center"/>
            </w:pPr>
            <w:r>
              <w:rPr>
                <w:b/>
                <w:bCs/>
                <w:color w:val="C0392B"/>
                <w:sz w:val="19"/>
                <w:szCs w:val="19"/>
              </w:rPr>
              <w:t>−9.9%</w:t>
            </w:r>
          </w:p>
        </w:tc>
      </w:tr>
      <w:tr w:rsidR="00DA6205" w14:paraId="7D2B5316" w14:textId="77777777">
        <w:tblPrEx>
          <w:tblCellMar>
            <w:top w:w="0" w:type="dxa"/>
            <w:bottom w:w="0" w:type="dxa"/>
          </w:tblCellMar>
        </w:tblPrEx>
        <w:tc>
          <w:tcPr>
            <w:tcW w:w="2860" w:type="dxa"/>
            <w:tcBorders>
              <w:top w:val="single" w:sz="1" w:space="0" w:color="B7B7B7"/>
              <w:left w:val="single" w:sz="1" w:space="0" w:color="B7B7B7"/>
              <w:bottom w:val="single" w:sz="1" w:space="0" w:color="B7B7B7"/>
              <w:right w:val="single" w:sz="1" w:space="0" w:color="B7B7B7"/>
            </w:tcBorders>
            <w:shd w:val="clear" w:color="auto" w:fill="E2EFD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8D2EAD2" w14:textId="77777777" w:rsidR="00DA6205" w:rsidRDefault="00000000">
            <w:r>
              <w:rPr>
                <w:b/>
                <w:bCs/>
                <w:color w:val="000000"/>
                <w:sz w:val="19"/>
                <w:szCs w:val="19"/>
              </w:rPr>
              <w:t>Consensus (Setup 4)</w:t>
            </w:r>
          </w:p>
        </w:tc>
        <w:tc>
          <w:tcPr>
            <w:tcW w:w="1100" w:type="dxa"/>
            <w:tcBorders>
              <w:top w:val="single" w:sz="1" w:space="0" w:color="B7B7B7"/>
              <w:left w:val="single" w:sz="1" w:space="0" w:color="B7B7B7"/>
              <w:bottom w:val="single" w:sz="1" w:space="0" w:color="B7B7B7"/>
              <w:right w:val="single" w:sz="1" w:space="0" w:color="B7B7B7"/>
            </w:tcBorders>
            <w:shd w:val="clear" w:color="auto" w:fill="E2EFD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876403" w14:textId="77777777" w:rsidR="00DA6205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41</w:t>
            </w:r>
          </w:p>
        </w:tc>
        <w:tc>
          <w:tcPr>
            <w:tcW w:w="1100" w:type="dxa"/>
            <w:tcBorders>
              <w:top w:val="single" w:sz="1" w:space="0" w:color="B7B7B7"/>
              <w:left w:val="single" w:sz="1" w:space="0" w:color="B7B7B7"/>
              <w:bottom w:val="single" w:sz="1" w:space="0" w:color="B7B7B7"/>
              <w:right w:val="single" w:sz="1" w:space="0" w:color="B7B7B7"/>
            </w:tcBorders>
            <w:shd w:val="clear" w:color="auto" w:fill="E2EFD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B14AC52" w14:textId="77777777" w:rsidR="00DA6205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58.5%</w:t>
            </w:r>
          </w:p>
        </w:tc>
        <w:tc>
          <w:tcPr>
            <w:tcW w:w="1300" w:type="dxa"/>
            <w:tcBorders>
              <w:top w:val="single" w:sz="1" w:space="0" w:color="B7B7B7"/>
              <w:left w:val="single" w:sz="1" w:space="0" w:color="B7B7B7"/>
              <w:bottom w:val="single" w:sz="1" w:space="0" w:color="B7B7B7"/>
              <w:right w:val="single" w:sz="1" w:space="0" w:color="B7B7B7"/>
            </w:tcBorders>
            <w:shd w:val="clear" w:color="auto" w:fill="E2EFD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323887A" w14:textId="77777777" w:rsidR="00DA6205" w:rsidRDefault="00000000">
            <w:pPr>
              <w:jc w:val="center"/>
            </w:pPr>
            <w:r>
              <w:rPr>
                <w:b/>
                <w:bCs/>
                <w:color w:val="2E7D32"/>
                <w:sz w:val="19"/>
                <w:szCs w:val="19"/>
              </w:rPr>
              <w:t>+10.5%</w:t>
            </w:r>
          </w:p>
        </w:tc>
        <w:tc>
          <w:tcPr>
            <w:tcW w:w="1500" w:type="dxa"/>
            <w:tcBorders>
              <w:top w:val="single" w:sz="1" w:space="0" w:color="B7B7B7"/>
              <w:left w:val="single" w:sz="1" w:space="0" w:color="B7B7B7"/>
              <w:bottom w:val="single" w:sz="1" w:space="0" w:color="B7B7B7"/>
              <w:right w:val="single" w:sz="1" w:space="0" w:color="B7B7B7"/>
            </w:tcBorders>
            <w:shd w:val="clear" w:color="auto" w:fill="E2EFD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377D20" w14:textId="77777777" w:rsidR="00DA6205" w:rsidRDefault="00000000">
            <w:pPr>
              <w:jc w:val="center"/>
            </w:pPr>
            <w:r>
              <w:rPr>
                <w:b/>
                <w:bCs/>
                <w:color w:val="2E7D32"/>
                <w:sz w:val="19"/>
                <w:szCs w:val="19"/>
              </w:rPr>
              <w:t>+26.8%</w:t>
            </w:r>
          </w:p>
        </w:tc>
        <w:tc>
          <w:tcPr>
            <w:tcW w:w="1500" w:type="dxa"/>
            <w:tcBorders>
              <w:top w:val="single" w:sz="1" w:space="0" w:color="B7B7B7"/>
              <w:left w:val="single" w:sz="1" w:space="0" w:color="B7B7B7"/>
              <w:bottom w:val="single" w:sz="1" w:space="0" w:color="B7B7B7"/>
              <w:right w:val="single" w:sz="1" w:space="0" w:color="B7B7B7"/>
            </w:tcBorders>
            <w:shd w:val="clear" w:color="auto" w:fill="E2EFD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CC7EF11" w14:textId="77777777" w:rsidR="00DA6205" w:rsidRDefault="00000000">
            <w:pPr>
              <w:jc w:val="center"/>
            </w:pPr>
            <w:r>
              <w:rPr>
                <w:b/>
                <w:bCs/>
                <w:color w:val="C0392B"/>
                <w:sz w:val="19"/>
                <w:szCs w:val="19"/>
              </w:rPr>
              <w:t>−10.3%</w:t>
            </w:r>
          </w:p>
        </w:tc>
      </w:tr>
    </w:tbl>
    <w:p w14:paraId="021F7320" w14:textId="77777777" w:rsidR="00DA6205" w:rsidRDefault="00000000">
      <w:pPr>
        <w:spacing w:before="40" w:after="180"/>
      </w:pPr>
      <w:r>
        <w:rPr>
          <w:i/>
          <w:iCs/>
          <w:color w:val="595959"/>
          <w:sz w:val="17"/>
          <w:szCs w:val="17"/>
        </w:rPr>
        <w:t xml:space="preserve">June 2025. Note the consensus row: net +10.5% — the strategy was PROFITABLE this June, because winning </w:t>
      </w:r>
      <w:proofErr w:type="spellStart"/>
      <w:r>
        <w:rPr>
          <w:i/>
          <w:iCs/>
          <w:color w:val="595959"/>
          <w:sz w:val="17"/>
          <w:szCs w:val="17"/>
        </w:rPr>
        <w:t>faves</w:t>
      </w:r>
      <w:proofErr w:type="spellEnd"/>
      <w:r>
        <w:rPr>
          <w:i/>
          <w:iCs/>
          <w:color w:val="595959"/>
          <w:sz w:val="17"/>
          <w:szCs w:val="17"/>
        </w:rPr>
        <w:t xml:space="preserve"> outweighed losing dogs.</w:t>
      </w:r>
    </w:p>
    <w:p w14:paraId="0B9036F8" w14:textId="77777777" w:rsidR="00DA6205" w:rsidRDefault="00000000">
      <w:pPr>
        <w:pStyle w:val="Heading2"/>
      </w:pPr>
      <w:proofErr w:type="gramStart"/>
      <w:r>
        <w:t>4.2  6</w:t>
      </w:r>
      <w:proofErr w:type="gramEnd"/>
      <w:r>
        <w:t xml:space="preserve">–21 June 2026 (truly live, beyond the </w:t>
      </w:r>
      <w:proofErr w:type="spellStart"/>
      <w:r>
        <w:t>outsample</w:t>
      </w:r>
      <w:proofErr w:type="spellEnd"/>
      <w:r>
        <w:t xml:space="preserve"> — 208 games)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60"/>
        <w:gridCol w:w="980"/>
        <w:gridCol w:w="980"/>
        <w:gridCol w:w="1240"/>
        <w:gridCol w:w="1300"/>
        <w:gridCol w:w="1100"/>
        <w:gridCol w:w="1100"/>
      </w:tblGrid>
      <w:tr w:rsidR="00DA6205" w14:paraId="0A02F5E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60" w:type="dxa"/>
            <w:tcBorders>
              <w:top w:val="single" w:sz="1" w:space="0" w:color="B7B7B7"/>
              <w:left w:val="single" w:sz="1" w:space="0" w:color="B7B7B7"/>
              <w:bottom w:val="single" w:sz="1" w:space="0" w:color="B7B7B7"/>
              <w:right w:val="single" w:sz="1" w:space="0" w:color="B7B7B7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6997F3F" w14:textId="77777777" w:rsidR="00DA6205" w:rsidRDefault="00000000">
            <w:r>
              <w:rPr>
                <w:b/>
                <w:bCs/>
                <w:color w:val="FFFFFF"/>
                <w:sz w:val="19"/>
                <w:szCs w:val="19"/>
              </w:rPr>
              <w:t>Variant</w:t>
            </w:r>
          </w:p>
        </w:tc>
        <w:tc>
          <w:tcPr>
            <w:tcW w:w="980" w:type="dxa"/>
            <w:tcBorders>
              <w:top w:val="single" w:sz="1" w:space="0" w:color="B7B7B7"/>
              <w:left w:val="single" w:sz="1" w:space="0" w:color="B7B7B7"/>
              <w:bottom w:val="single" w:sz="1" w:space="0" w:color="B7B7B7"/>
              <w:right w:val="single" w:sz="1" w:space="0" w:color="B7B7B7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9B3525E" w14:textId="77777777" w:rsidR="00DA6205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Plays</w:t>
            </w:r>
          </w:p>
        </w:tc>
        <w:tc>
          <w:tcPr>
            <w:tcW w:w="980" w:type="dxa"/>
            <w:tcBorders>
              <w:top w:val="single" w:sz="1" w:space="0" w:color="B7B7B7"/>
              <w:left w:val="single" w:sz="1" w:space="0" w:color="B7B7B7"/>
              <w:bottom w:val="single" w:sz="1" w:space="0" w:color="B7B7B7"/>
              <w:right w:val="single" w:sz="1" w:space="0" w:color="B7B7B7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6BBD6F" w14:textId="77777777" w:rsidR="00DA6205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Win %</w:t>
            </w:r>
          </w:p>
        </w:tc>
        <w:tc>
          <w:tcPr>
            <w:tcW w:w="1240" w:type="dxa"/>
            <w:tcBorders>
              <w:top w:val="single" w:sz="1" w:space="0" w:color="B7B7B7"/>
              <w:left w:val="single" w:sz="1" w:space="0" w:color="B7B7B7"/>
              <w:bottom w:val="single" w:sz="1" w:space="0" w:color="B7B7B7"/>
              <w:right w:val="single" w:sz="1" w:space="0" w:color="B7B7B7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4F2AA2" w14:textId="77777777" w:rsidR="00DA6205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ROI</w:t>
            </w:r>
          </w:p>
        </w:tc>
        <w:tc>
          <w:tcPr>
            <w:tcW w:w="1300" w:type="dxa"/>
            <w:tcBorders>
              <w:top w:val="single" w:sz="1" w:space="0" w:color="B7B7B7"/>
              <w:left w:val="single" w:sz="1" w:space="0" w:color="B7B7B7"/>
              <w:bottom w:val="single" w:sz="1" w:space="0" w:color="B7B7B7"/>
              <w:right w:val="single" w:sz="1" w:space="0" w:color="B7B7B7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F23647E" w14:textId="77777777" w:rsidR="00DA6205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Home-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Fave</w:t>
            </w:r>
            <w:proofErr w:type="spellEnd"/>
          </w:p>
        </w:tc>
        <w:tc>
          <w:tcPr>
            <w:tcW w:w="1100" w:type="dxa"/>
            <w:tcBorders>
              <w:top w:val="single" w:sz="1" w:space="0" w:color="B7B7B7"/>
              <w:left w:val="single" w:sz="1" w:space="0" w:color="B7B7B7"/>
              <w:bottom w:val="single" w:sz="1" w:space="0" w:color="B7B7B7"/>
              <w:right w:val="single" w:sz="1" w:space="0" w:color="B7B7B7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BD2EEDF" w14:textId="77777777" w:rsidR="00DA6205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Vis-Dog</w:t>
            </w:r>
          </w:p>
        </w:tc>
        <w:tc>
          <w:tcPr>
            <w:tcW w:w="1100" w:type="dxa"/>
            <w:tcBorders>
              <w:top w:val="single" w:sz="1" w:space="0" w:color="B7B7B7"/>
              <w:left w:val="single" w:sz="1" w:space="0" w:color="B7B7B7"/>
              <w:bottom w:val="single" w:sz="1" w:space="0" w:color="B7B7B7"/>
              <w:right w:val="single" w:sz="1" w:space="0" w:color="B7B7B7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622A439" w14:textId="77777777" w:rsidR="00DA6205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Home-Dog</w:t>
            </w:r>
          </w:p>
        </w:tc>
      </w:tr>
      <w:tr w:rsidR="00DA6205" w14:paraId="4A38A0EA" w14:textId="77777777">
        <w:tblPrEx>
          <w:tblCellMar>
            <w:top w:w="0" w:type="dxa"/>
            <w:bottom w:w="0" w:type="dxa"/>
          </w:tblCellMar>
        </w:tblPrEx>
        <w:tc>
          <w:tcPr>
            <w:tcW w:w="2660" w:type="dxa"/>
            <w:tcBorders>
              <w:top w:val="single" w:sz="1" w:space="0" w:color="B7B7B7"/>
              <w:left w:val="single" w:sz="1" w:space="0" w:color="B7B7B7"/>
              <w:bottom w:val="single" w:sz="1" w:space="0" w:color="B7B7B7"/>
              <w:right w:val="single" w:sz="1" w:space="0" w:color="B7B7B7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A1490F" w14:textId="77777777" w:rsidR="00DA6205" w:rsidRDefault="00000000">
            <w:r>
              <w:rPr>
                <w:b/>
                <w:bCs/>
                <w:color w:val="000000"/>
                <w:sz w:val="19"/>
                <w:szCs w:val="19"/>
              </w:rPr>
              <w:t>V119 ensemble</w:t>
            </w:r>
          </w:p>
        </w:tc>
        <w:tc>
          <w:tcPr>
            <w:tcW w:w="980" w:type="dxa"/>
            <w:tcBorders>
              <w:top w:val="single" w:sz="1" w:space="0" w:color="B7B7B7"/>
              <w:left w:val="single" w:sz="1" w:space="0" w:color="B7B7B7"/>
              <w:bottom w:val="single" w:sz="1" w:space="0" w:color="B7B7B7"/>
              <w:right w:val="single" w:sz="1" w:space="0" w:color="B7B7B7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C7C949E" w14:textId="77777777" w:rsidR="00DA6205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34</w:t>
            </w:r>
          </w:p>
        </w:tc>
        <w:tc>
          <w:tcPr>
            <w:tcW w:w="980" w:type="dxa"/>
            <w:tcBorders>
              <w:top w:val="single" w:sz="1" w:space="0" w:color="B7B7B7"/>
              <w:left w:val="single" w:sz="1" w:space="0" w:color="B7B7B7"/>
              <w:bottom w:val="single" w:sz="1" w:space="0" w:color="B7B7B7"/>
              <w:right w:val="single" w:sz="1" w:space="0" w:color="B7B7B7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5E7F3D" w14:textId="77777777" w:rsidR="00DA6205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44.1%</w:t>
            </w:r>
          </w:p>
        </w:tc>
        <w:tc>
          <w:tcPr>
            <w:tcW w:w="1240" w:type="dxa"/>
            <w:tcBorders>
              <w:top w:val="single" w:sz="1" w:space="0" w:color="B7B7B7"/>
              <w:left w:val="single" w:sz="1" w:space="0" w:color="B7B7B7"/>
              <w:bottom w:val="single" w:sz="1" w:space="0" w:color="B7B7B7"/>
              <w:right w:val="single" w:sz="1" w:space="0" w:color="B7B7B7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E441B28" w14:textId="77777777" w:rsidR="00DA6205" w:rsidRDefault="00000000">
            <w:pPr>
              <w:jc w:val="center"/>
            </w:pPr>
            <w:r>
              <w:rPr>
                <w:b/>
                <w:bCs/>
                <w:color w:val="C0392B"/>
                <w:sz w:val="19"/>
                <w:szCs w:val="19"/>
              </w:rPr>
              <w:t>−14.0%</w:t>
            </w:r>
          </w:p>
        </w:tc>
        <w:tc>
          <w:tcPr>
            <w:tcW w:w="1300" w:type="dxa"/>
            <w:tcBorders>
              <w:top w:val="single" w:sz="1" w:space="0" w:color="B7B7B7"/>
              <w:left w:val="single" w:sz="1" w:space="0" w:color="B7B7B7"/>
              <w:bottom w:val="single" w:sz="1" w:space="0" w:color="B7B7B7"/>
              <w:right w:val="single" w:sz="1" w:space="0" w:color="B7B7B7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5D298C2" w14:textId="77777777" w:rsidR="00DA6205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−7.9%</w:t>
            </w:r>
          </w:p>
        </w:tc>
        <w:tc>
          <w:tcPr>
            <w:tcW w:w="1100" w:type="dxa"/>
            <w:tcBorders>
              <w:top w:val="single" w:sz="1" w:space="0" w:color="B7B7B7"/>
              <w:left w:val="single" w:sz="1" w:space="0" w:color="B7B7B7"/>
              <w:bottom w:val="single" w:sz="1" w:space="0" w:color="B7B7B7"/>
              <w:right w:val="single" w:sz="1" w:space="0" w:color="B7B7B7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B3B3267" w14:textId="77777777" w:rsidR="00DA6205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−11.1%</w:t>
            </w:r>
          </w:p>
        </w:tc>
        <w:tc>
          <w:tcPr>
            <w:tcW w:w="1100" w:type="dxa"/>
            <w:tcBorders>
              <w:top w:val="single" w:sz="1" w:space="0" w:color="B7B7B7"/>
              <w:left w:val="single" w:sz="1" w:space="0" w:color="B7B7B7"/>
              <w:bottom w:val="single" w:sz="1" w:space="0" w:color="B7B7B7"/>
              <w:right w:val="single" w:sz="1" w:space="0" w:color="B7B7B7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0970CA" w14:textId="77777777" w:rsidR="00DA6205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−49.9%</w:t>
            </w:r>
          </w:p>
        </w:tc>
      </w:tr>
      <w:tr w:rsidR="00DA6205" w14:paraId="62D81D02" w14:textId="77777777">
        <w:tblPrEx>
          <w:tblCellMar>
            <w:top w:w="0" w:type="dxa"/>
            <w:bottom w:w="0" w:type="dxa"/>
          </w:tblCellMar>
        </w:tblPrEx>
        <w:tc>
          <w:tcPr>
            <w:tcW w:w="2660" w:type="dxa"/>
            <w:tcBorders>
              <w:top w:val="single" w:sz="1" w:space="0" w:color="B7B7B7"/>
              <w:left w:val="single" w:sz="1" w:space="0" w:color="B7B7B7"/>
              <w:bottom w:val="single" w:sz="1" w:space="0" w:color="B7B7B7"/>
              <w:right w:val="single" w:sz="1" w:space="0" w:color="B7B7B7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9821F4D" w14:textId="77777777" w:rsidR="00DA6205" w:rsidRDefault="00000000">
            <w:r>
              <w:rPr>
                <w:b/>
                <w:bCs/>
                <w:color w:val="000000"/>
                <w:sz w:val="19"/>
                <w:szCs w:val="19"/>
              </w:rPr>
              <w:t xml:space="preserve">V123 </w:t>
            </w:r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StatsOnly</w:t>
            </w:r>
            <w:proofErr w:type="spellEnd"/>
          </w:p>
        </w:tc>
        <w:tc>
          <w:tcPr>
            <w:tcW w:w="980" w:type="dxa"/>
            <w:tcBorders>
              <w:top w:val="single" w:sz="1" w:space="0" w:color="B7B7B7"/>
              <w:left w:val="single" w:sz="1" w:space="0" w:color="B7B7B7"/>
              <w:bottom w:val="single" w:sz="1" w:space="0" w:color="B7B7B7"/>
              <w:right w:val="single" w:sz="1" w:space="0" w:color="B7B7B7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F7B534" w14:textId="77777777" w:rsidR="00DA6205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47</w:t>
            </w:r>
          </w:p>
        </w:tc>
        <w:tc>
          <w:tcPr>
            <w:tcW w:w="980" w:type="dxa"/>
            <w:tcBorders>
              <w:top w:val="single" w:sz="1" w:space="0" w:color="B7B7B7"/>
              <w:left w:val="single" w:sz="1" w:space="0" w:color="B7B7B7"/>
              <w:bottom w:val="single" w:sz="1" w:space="0" w:color="B7B7B7"/>
              <w:right w:val="single" w:sz="1" w:space="0" w:color="B7B7B7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CEF327B" w14:textId="77777777" w:rsidR="00DA6205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51.1%</w:t>
            </w:r>
          </w:p>
        </w:tc>
        <w:tc>
          <w:tcPr>
            <w:tcW w:w="1240" w:type="dxa"/>
            <w:tcBorders>
              <w:top w:val="single" w:sz="1" w:space="0" w:color="B7B7B7"/>
              <w:left w:val="single" w:sz="1" w:space="0" w:color="B7B7B7"/>
              <w:bottom w:val="single" w:sz="1" w:space="0" w:color="B7B7B7"/>
              <w:right w:val="single" w:sz="1" w:space="0" w:color="B7B7B7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F706110" w14:textId="77777777" w:rsidR="00DA6205" w:rsidRDefault="00000000">
            <w:pPr>
              <w:jc w:val="center"/>
            </w:pPr>
            <w:r>
              <w:rPr>
                <w:b/>
                <w:bCs/>
                <w:color w:val="2E7D32"/>
                <w:sz w:val="19"/>
                <w:szCs w:val="19"/>
              </w:rPr>
              <w:t>+4.9%</w:t>
            </w:r>
          </w:p>
        </w:tc>
        <w:tc>
          <w:tcPr>
            <w:tcW w:w="1300" w:type="dxa"/>
            <w:tcBorders>
              <w:top w:val="single" w:sz="1" w:space="0" w:color="B7B7B7"/>
              <w:left w:val="single" w:sz="1" w:space="0" w:color="B7B7B7"/>
              <w:bottom w:val="single" w:sz="1" w:space="0" w:color="B7B7B7"/>
              <w:right w:val="single" w:sz="1" w:space="0" w:color="B7B7B7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5488E7C" w14:textId="77777777" w:rsidR="00DA6205" w:rsidRDefault="00000000">
            <w:pPr>
              <w:jc w:val="center"/>
            </w:pPr>
            <w:r>
              <w:rPr>
                <w:color w:val="2E7D32"/>
                <w:sz w:val="19"/>
                <w:szCs w:val="19"/>
              </w:rPr>
              <w:t>+33.8%</w:t>
            </w:r>
          </w:p>
        </w:tc>
        <w:tc>
          <w:tcPr>
            <w:tcW w:w="1100" w:type="dxa"/>
            <w:tcBorders>
              <w:top w:val="single" w:sz="1" w:space="0" w:color="B7B7B7"/>
              <w:left w:val="single" w:sz="1" w:space="0" w:color="B7B7B7"/>
              <w:bottom w:val="single" w:sz="1" w:space="0" w:color="B7B7B7"/>
              <w:right w:val="single" w:sz="1" w:space="0" w:color="B7B7B7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B8F05A4" w14:textId="77777777" w:rsidR="00DA6205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−38.3%</w:t>
            </w:r>
          </w:p>
        </w:tc>
        <w:tc>
          <w:tcPr>
            <w:tcW w:w="1100" w:type="dxa"/>
            <w:tcBorders>
              <w:top w:val="single" w:sz="1" w:space="0" w:color="B7B7B7"/>
              <w:left w:val="single" w:sz="1" w:space="0" w:color="B7B7B7"/>
              <w:bottom w:val="single" w:sz="1" w:space="0" w:color="B7B7B7"/>
              <w:right w:val="single" w:sz="1" w:space="0" w:color="B7B7B7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8D808D9" w14:textId="77777777" w:rsidR="00DA6205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−49.9%</w:t>
            </w:r>
          </w:p>
        </w:tc>
      </w:tr>
      <w:tr w:rsidR="00DA6205" w14:paraId="0FB93F02" w14:textId="77777777">
        <w:tblPrEx>
          <w:tblCellMar>
            <w:top w:w="0" w:type="dxa"/>
            <w:bottom w:w="0" w:type="dxa"/>
          </w:tblCellMar>
        </w:tblPrEx>
        <w:tc>
          <w:tcPr>
            <w:tcW w:w="2660" w:type="dxa"/>
            <w:tcBorders>
              <w:top w:val="single" w:sz="1" w:space="0" w:color="B7B7B7"/>
              <w:left w:val="single" w:sz="1" w:space="0" w:color="B7B7B7"/>
              <w:bottom w:val="single" w:sz="1" w:space="0" w:color="B7B7B7"/>
              <w:right w:val="single" w:sz="1" w:space="0" w:color="B7B7B7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7DDCE10" w14:textId="77777777" w:rsidR="00DA6205" w:rsidRDefault="00000000">
            <w:r>
              <w:rPr>
                <w:b/>
                <w:bCs/>
                <w:color w:val="000000"/>
                <w:sz w:val="19"/>
                <w:szCs w:val="19"/>
              </w:rPr>
              <w:t>Consensus only</w:t>
            </w:r>
          </w:p>
        </w:tc>
        <w:tc>
          <w:tcPr>
            <w:tcW w:w="980" w:type="dxa"/>
            <w:tcBorders>
              <w:top w:val="single" w:sz="1" w:space="0" w:color="B7B7B7"/>
              <w:left w:val="single" w:sz="1" w:space="0" w:color="B7B7B7"/>
              <w:bottom w:val="single" w:sz="1" w:space="0" w:color="B7B7B7"/>
              <w:right w:val="single" w:sz="1" w:space="0" w:color="B7B7B7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3370AB7" w14:textId="77777777" w:rsidR="00DA6205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18</w:t>
            </w:r>
          </w:p>
        </w:tc>
        <w:tc>
          <w:tcPr>
            <w:tcW w:w="980" w:type="dxa"/>
            <w:tcBorders>
              <w:top w:val="single" w:sz="1" w:space="0" w:color="B7B7B7"/>
              <w:left w:val="single" w:sz="1" w:space="0" w:color="B7B7B7"/>
              <w:bottom w:val="single" w:sz="1" w:space="0" w:color="B7B7B7"/>
              <w:right w:val="single" w:sz="1" w:space="0" w:color="B7B7B7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1A2CC38" w14:textId="77777777" w:rsidR="00DA6205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44.4%</w:t>
            </w:r>
          </w:p>
        </w:tc>
        <w:tc>
          <w:tcPr>
            <w:tcW w:w="1240" w:type="dxa"/>
            <w:tcBorders>
              <w:top w:val="single" w:sz="1" w:space="0" w:color="B7B7B7"/>
              <w:left w:val="single" w:sz="1" w:space="0" w:color="B7B7B7"/>
              <w:bottom w:val="single" w:sz="1" w:space="0" w:color="B7B7B7"/>
              <w:right w:val="single" w:sz="1" w:space="0" w:color="B7B7B7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D8173F5" w14:textId="77777777" w:rsidR="00DA6205" w:rsidRDefault="00000000">
            <w:pPr>
              <w:jc w:val="center"/>
            </w:pPr>
            <w:r>
              <w:rPr>
                <w:b/>
                <w:bCs/>
                <w:color w:val="C0392B"/>
                <w:sz w:val="19"/>
                <w:szCs w:val="19"/>
              </w:rPr>
              <w:t>−11.2%</w:t>
            </w:r>
          </w:p>
        </w:tc>
        <w:tc>
          <w:tcPr>
            <w:tcW w:w="1300" w:type="dxa"/>
            <w:tcBorders>
              <w:top w:val="single" w:sz="1" w:space="0" w:color="B7B7B7"/>
              <w:left w:val="single" w:sz="1" w:space="0" w:color="B7B7B7"/>
              <w:bottom w:val="single" w:sz="1" w:space="0" w:color="B7B7B7"/>
              <w:right w:val="single" w:sz="1" w:space="0" w:color="B7B7B7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A4A6242" w14:textId="77777777" w:rsidR="00DA6205" w:rsidRDefault="00000000">
            <w:pPr>
              <w:jc w:val="center"/>
            </w:pPr>
            <w:r>
              <w:rPr>
                <w:color w:val="2E7D32"/>
                <w:sz w:val="19"/>
                <w:szCs w:val="19"/>
              </w:rPr>
              <w:t>+48.5%</w:t>
            </w:r>
          </w:p>
        </w:tc>
        <w:tc>
          <w:tcPr>
            <w:tcW w:w="1100" w:type="dxa"/>
            <w:tcBorders>
              <w:top w:val="single" w:sz="1" w:space="0" w:color="B7B7B7"/>
              <w:left w:val="single" w:sz="1" w:space="0" w:color="B7B7B7"/>
              <w:bottom w:val="single" w:sz="1" w:space="0" w:color="B7B7B7"/>
              <w:right w:val="single" w:sz="1" w:space="0" w:color="B7B7B7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2A8592B" w14:textId="77777777" w:rsidR="00DA6205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−31.2%</w:t>
            </w:r>
          </w:p>
        </w:tc>
        <w:tc>
          <w:tcPr>
            <w:tcW w:w="1100" w:type="dxa"/>
            <w:tcBorders>
              <w:top w:val="single" w:sz="1" w:space="0" w:color="B7B7B7"/>
              <w:left w:val="single" w:sz="1" w:space="0" w:color="B7B7B7"/>
              <w:bottom w:val="single" w:sz="1" w:space="0" w:color="B7B7B7"/>
              <w:right w:val="single" w:sz="1" w:space="0" w:color="B7B7B7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717C46" w14:textId="77777777" w:rsidR="00DA6205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−49.9%</w:t>
            </w:r>
          </w:p>
        </w:tc>
      </w:tr>
      <w:tr w:rsidR="00DA6205" w14:paraId="162C2B6F" w14:textId="77777777">
        <w:tblPrEx>
          <w:tblCellMar>
            <w:top w:w="0" w:type="dxa"/>
            <w:bottom w:w="0" w:type="dxa"/>
          </w:tblCellMar>
        </w:tblPrEx>
        <w:tc>
          <w:tcPr>
            <w:tcW w:w="2660" w:type="dxa"/>
            <w:tcBorders>
              <w:top w:val="single" w:sz="1" w:space="0" w:color="B7B7B7"/>
              <w:left w:val="single" w:sz="1" w:space="0" w:color="B7B7B7"/>
              <w:bottom w:val="single" w:sz="1" w:space="0" w:color="B7B7B7"/>
              <w:right w:val="single" w:sz="1" w:space="0" w:color="B7B7B7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0B2F556" w14:textId="77777777" w:rsidR="00DA6205" w:rsidRDefault="00000000">
            <w:r>
              <w:rPr>
                <w:b/>
                <w:bCs/>
                <w:color w:val="000000"/>
                <w:sz w:val="19"/>
                <w:szCs w:val="19"/>
              </w:rPr>
              <w:t>Full Section-7 strategy</w:t>
            </w:r>
          </w:p>
        </w:tc>
        <w:tc>
          <w:tcPr>
            <w:tcW w:w="980" w:type="dxa"/>
            <w:tcBorders>
              <w:top w:val="single" w:sz="1" w:space="0" w:color="B7B7B7"/>
              <w:left w:val="single" w:sz="1" w:space="0" w:color="B7B7B7"/>
              <w:bottom w:val="single" w:sz="1" w:space="0" w:color="B7B7B7"/>
              <w:right w:val="single" w:sz="1" w:space="0" w:color="B7B7B7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C7AB443" w14:textId="77777777" w:rsidR="00DA6205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34</w:t>
            </w:r>
          </w:p>
        </w:tc>
        <w:tc>
          <w:tcPr>
            <w:tcW w:w="980" w:type="dxa"/>
            <w:tcBorders>
              <w:top w:val="single" w:sz="1" w:space="0" w:color="B7B7B7"/>
              <w:left w:val="single" w:sz="1" w:space="0" w:color="B7B7B7"/>
              <w:bottom w:val="single" w:sz="1" w:space="0" w:color="B7B7B7"/>
              <w:right w:val="single" w:sz="1" w:space="0" w:color="B7B7B7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A626E3F" w14:textId="77777777" w:rsidR="00DA6205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41.2%</w:t>
            </w:r>
          </w:p>
        </w:tc>
        <w:tc>
          <w:tcPr>
            <w:tcW w:w="1240" w:type="dxa"/>
            <w:tcBorders>
              <w:top w:val="single" w:sz="1" w:space="0" w:color="B7B7B7"/>
              <w:left w:val="single" w:sz="1" w:space="0" w:color="B7B7B7"/>
              <w:bottom w:val="single" w:sz="1" w:space="0" w:color="B7B7B7"/>
              <w:right w:val="single" w:sz="1" w:space="0" w:color="B7B7B7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D2C1CC2" w14:textId="77777777" w:rsidR="00DA6205" w:rsidRDefault="00000000">
            <w:pPr>
              <w:jc w:val="center"/>
            </w:pPr>
            <w:r>
              <w:rPr>
                <w:b/>
                <w:bCs/>
                <w:color w:val="C0392B"/>
                <w:sz w:val="19"/>
                <w:szCs w:val="19"/>
              </w:rPr>
              <w:t>−19.5%</w:t>
            </w:r>
          </w:p>
        </w:tc>
        <w:tc>
          <w:tcPr>
            <w:tcW w:w="1300" w:type="dxa"/>
            <w:tcBorders>
              <w:top w:val="single" w:sz="1" w:space="0" w:color="B7B7B7"/>
              <w:left w:val="single" w:sz="1" w:space="0" w:color="B7B7B7"/>
              <w:bottom w:val="single" w:sz="1" w:space="0" w:color="B7B7B7"/>
              <w:right w:val="single" w:sz="1" w:space="0" w:color="B7B7B7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582F52" w14:textId="77777777" w:rsidR="00DA6205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−7.5%</w:t>
            </w:r>
          </w:p>
        </w:tc>
        <w:tc>
          <w:tcPr>
            <w:tcW w:w="1100" w:type="dxa"/>
            <w:tcBorders>
              <w:top w:val="single" w:sz="1" w:space="0" w:color="B7B7B7"/>
              <w:left w:val="single" w:sz="1" w:space="0" w:color="B7B7B7"/>
              <w:bottom w:val="single" w:sz="1" w:space="0" w:color="B7B7B7"/>
              <w:right w:val="single" w:sz="1" w:space="0" w:color="B7B7B7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21C2564" w14:textId="77777777" w:rsidR="00DA6205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−23.7%</w:t>
            </w:r>
          </w:p>
        </w:tc>
        <w:tc>
          <w:tcPr>
            <w:tcW w:w="1100" w:type="dxa"/>
            <w:tcBorders>
              <w:top w:val="single" w:sz="1" w:space="0" w:color="B7B7B7"/>
              <w:left w:val="single" w:sz="1" w:space="0" w:color="B7B7B7"/>
              <w:bottom w:val="single" w:sz="1" w:space="0" w:color="B7B7B7"/>
              <w:right w:val="single" w:sz="1" w:space="0" w:color="B7B7B7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D36DE8" w14:textId="77777777" w:rsidR="00DA6205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−49.9%</w:t>
            </w:r>
          </w:p>
        </w:tc>
      </w:tr>
    </w:tbl>
    <w:p w14:paraId="378B061C" w14:textId="7DF7E973" w:rsidR="00FD344A" w:rsidRDefault="00000000">
      <w:pPr>
        <w:spacing w:before="40" w:after="180"/>
        <w:rPr>
          <w:i/>
          <w:iCs/>
          <w:color w:val="595959"/>
          <w:sz w:val="17"/>
          <w:szCs w:val="17"/>
        </w:rPr>
      </w:pPr>
      <w:r>
        <w:rPr>
          <w:i/>
          <w:iCs/>
          <w:color w:val="595959"/>
          <w:sz w:val="17"/>
          <w:szCs w:val="17"/>
        </w:rPr>
        <w:t>6–21 June 2026. Favourites positive, dogs negative — but on tiny counts. Home-Dog is −49.9% on the SAME 4 plays (1 win) in every row; the visitor-dog damage is ~9–16 plays.</w:t>
      </w:r>
    </w:p>
    <w:p w14:paraId="57E16BF8" w14:textId="63656D02" w:rsidR="00DA6205" w:rsidRPr="00FD344A" w:rsidRDefault="00FD344A" w:rsidP="00FD344A">
      <w:pPr>
        <w:rPr>
          <w:i/>
          <w:iCs/>
          <w:color w:val="595959"/>
          <w:sz w:val="17"/>
          <w:szCs w:val="17"/>
        </w:rPr>
      </w:pPr>
      <w:r>
        <w:rPr>
          <w:i/>
          <w:iCs/>
          <w:color w:val="595959"/>
          <w:sz w:val="17"/>
          <w:szCs w:val="17"/>
        </w:rPr>
        <w:br w:type="page"/>
      </w:r>
    </w:p>
    <w:p w14:paraId="6B763045" w14:textId="77777777" w:rsidR="00DA6205" w:rsidRDefault="00000000">
      <w:pPr>
        <w:pBdr>
          <w:top w:val="single" w:sz="2" w:space="6" w:color="D9E2EF"/>
          <w:left w:val="single" w:sz="18" w:space="8" w:color="1F3864"/>
          <w:bottom w:val="single" w:sz="2" w:space="6" w:color="D9E2EF"/>
          <w:right w:val="single" w:sz="2" w:space="6" w:color="D9E2EF"/>
        </w:pBdr>
        <w:shd w:val="clear" w:color="auto" w:fill="F2F6FB"/>
        <w:spacing w:before="60" w:after="140"/>
      </w:pPr>
      <w:r>
        <w:rPr>
          <w:b/>
          <w:bCs/>
        </w:rPr>
        <w:lastRenderedPageBreak/>
        <w:t xml:space="preserve">The crucial caveat both the original report and the proposal under-weighted: </w:t>
      </w:r>
      <w:r>
        <w:t>the live “June dog problem” in 2026 is roughly 13–20 dog plays losing, and its scariest single number (home dogs −49.9%) is 4 plays. June 2025’s thresholds were fitted in-window, so its +10.5% is flattered; June 2026 is clean but minuscule. You cannot switch models or kill your best signal on this. You can, sensibly, de-risk and investigate.</w:t>
      </w:r>
    </w:p>
    <w:p w14:paraId="3026A793" w14:textId="77777777" w:rsidR="00DA6205" w:rsidRDefault="00000000">
      <w:pPr>
        <w:pStyle w:val="Heading1"/>
      </w:pPr>
      <w:r>
        <w:t xml:space="preserve">5.  Is the V123 </w:t>
      </w:r>
      <w:proofErr w:type="spellStart"/>
      <w:r>
        <w:t>StatsOnly</w:t>
      </w:r>
      <w:proofErr w:type="spellEnd"/>
      <w:r>
        <w:t xml:space="preserve"> switch the right fix? Still no</w:t>
      </w:r>
    </w:p>
    <w:p w14:paraId="55F78A71" w14:textId="77777777" w:rsidR="00DA6205" w:rsidRDefault="00000000">
      <w:pPr>
        <w:spacing w:after="140" w:line="276" w:lineRule="auto"/>
      </w:pPr>
      <w:r>
        <w:rPr>
          <w:b/>
          <w:bCs/>
        </w:rPr>
        <w:t xml:space="preserve">1.  It attributes to the model what belongs to side and season. </w:t>
      </w:r>
      <w:r>
        <w:t xml:space="preserve">V123’s June-2026 profit is favourite-driven (home </w:t>
      </w:r>
      <w:proofErr w:type="spellStart"/>
      <w:r>
        <w:t>faves</w:t>
      </w:r>
      <w:proofErr w:type="spellEnd"/>
      <w:r>
        <w:t xml:space="preserve"> +33.8%); its dogs lose. Same </w:t>
      </w:r>
      <w:proofErr w:type="spellStart"/>
      <w:r>
        <w:t>fave</w:t>
      </w:r>
      <w:proofErr w:type="spellEnd"/>
      <w:r>
        <w:t>-over-dog pattern as every variant.</w:t>
      </w:r>
    </w:p>
    <w:p w14:paraId="1486FB4D" w14:textId="77777777" w:rsidR="00DA6205" w:rsidRDefault="00000000">
      <w:pPr>
        <w:spacing w:after="140" w:line="276" w:lineRule="auto"/>
      </w:pPr>
      <w:r>
        <w:rPr>
          <w:b/>
          <w:bCs/>
        </w:rPr>
        <w:t xml:space="preserve">2.  V123 lost in the comparable June. </w:t>
      </w:r>
      <w:r>
        <w:t>June 2025: −5.7% overall, −1.8% in the very −115 to 150 band being proposed. One positive fortnight does not make it a robust June performer.</w:t>
      </w:r>
    </w:p>
    <w:p w14:paraId="1963822E" w14:textId="77777777" w:rsidR="00DA6205" w:rsidRDefault="00000000">
      <w:pPr>
        <w:spacing w:after="140" w:line="276" w:lineRule="auto"/>
      </w:pPr>
      <w:r>
        <w:rPr>
          <w:b/>
          <w:bCs/>
        </w:rPr>
        <w:t xml:space="preserve">3.  The 2026 evidence is 47 plays, favourite-carried, and does not even reconcile. </w:t>
      </w:r>
      <w:r>
        <w:t>V123’s reported sub-totals do not sum to its +4.9% headline — worth checking in the sheet before relying on it.</w:t>
      </w:r>
    </w:p>
    <w:p w14:paraId="1985E3F3" w14:textId="77777777" w:rsidR="00DA6205" w:rsidRDefault="00000000">
      <w:pPr>
        <w:spacing w:after="140" w:line="276" w:lineRule="auto"/>
      </w:pPr>
      <w:r>
        <w:rPr>
          <w:b/>
          <w:bCs/>
        </w:rPr>
        <w:t xml:space="preserve">4.  The logic is self-contradictory. </w:t>
      </w:r>
      <w:r>
        <w:t>If V123 truly generalised better you would keep it past June, not revert in July. The reversion concedes June is a special regime — the right response to which is to adjust what you bet, not rotate models for a fortnight.</w:t>
      </w:r>
    </w:p>
    <w:p w14:paraId="40868E76" w14:textId="77777777" w:rsidR="00DA6205" w:rsidRDefault="00000000">
      <w:pPr>
        <w:pStyle w:val="Heading1"/>
      </w:pPr>
      <w:r>
        <w:t>6.  The disagreement signal (your Section 9) — promising, but not yet a live edge</w:t>
      </w:r>
    </w:p>
    <w:p w14:paraId="05140CA7" w14:textId="77777777" w:rsidR="00DA6205" w:rsidRDefault="00000000">
      <w:pPr>
        <w:spacing w:after="140" w:line="276" w:lineRule="auto"/>
      </w:pPr>
      <w:r>
        <w:t xml:space="preserve">The finding: on games where V119 and V123 take opposite sides, V123’s side is highly profitable (+20.7% full </w:t>
      </w:r>
      <w:proofErr w:type="spellStart"/>
      <w:r>
        <w:t>outsample</w:t>
      </w:r>
      <w:proofErr w:type="spellEnd"/>
      <w:r>
        <w:t>) while V119’s side loses (−15.3%). The mechanism is clean and worth stating, because it is the same logic the rest of the system rests on.</w:t>
      </w:r>
    </w:p>
    <w:p w14:paraId="6D361697" w14:textId="77777777" w:rsidR="00DA6205" w:rsidRDefault="00000000">
      <w:pPr>
        <w:spacing w:after="140" w:line="276" w:lineRule="auto"/>
      </w:pPr>
      <w:r>
        <w:t xml:space="preserve">V119 is market-anchored (the bookmaker probability is ~25% of its importance), so when it takes a </w:t>
      </w:r>
      <w:proofErr w:type="gramStart"/>
      <w:r>
        <w:t>side</w:t>
      </w:r>
      <w:proofErr w:type="gramEnd"/>
      <w:r>
        <w:t xml:space="preserve"> it largely echoes the market. V123 is line-free. So </w:t>
      </w:r>
      <w:r>
        <w:rPr>
          <w:b/>
          <w:bCs/>
        </w:rPr>
        <w:t>“V123 disagrees with V119” is, in practice, “V123 is betting against the market’s lean”</w:t>
      </w:r>
      <w:r>
        <w:t xml:space="preserve"> — the purest form of the divergence your Implementation Plan says the edge comes from.</w:t>
      </w:r>
    </w:p>
    <w:p w14:paraId="4F0D9A56" w14:textId="77777777" w:rsidR="00DA6205" w:rsidRDefault="00000000">
      <w:pPr>
        <w:spacing w:after="140" w:line="276" w:lineRule="auto"/>
      </w:pPr>
      <w:r>
        <w:t xml:space="preserve">But the 37-vs-82 asymmetry tells you what that divergence concretely is. On a disagreement game, V119 leans to the line — typically the </w:t>
      </w:r>
      <w:r>
        <w:rPr>
          <w:i/>
          <w:iCs/>
        </w:rPr>
        <w:t>visitor favourite</w:t>
      </w:r>
      <w:r>
        <w:t>, which your no-</w:t>
      </w:r>
      <w:proofErr w:type="spellStart"/>
      <w:r>
        <w:t>VisFave</w:t>
      </w:r>
      <w:proofErr w:type="spellEnd"/>
      <w:r>
        <w:t xml:space="preserve"> policy bins, so V119 registers no play — while V123 takes the opposite </w:t>
      </w:r>
      <w:r>
        <w:rPr>
          <w:i/>
          <w:iCs/>
        </w:rPr>
        <w:t>home dog</w:t>
      </w:r>
      <w:r>
        <w:t xml:space="preserve">, which is allowed. </w:t>
      </w:r>
      <w:proofErr w:type="gramStart"/>
      <w:r>
        <w:t>So</w:t>
      </w:r>
      <w:proofErr w:type="gramEnd"/>
      <w:r>
        <w:t xml:space="preserve"> the signal is, almost entirely, </w:t>
      </w:r>
      <w:r>
        <w:rPr>
          <w:b/>
          <w:bCs/>
        </w:rPr>
        <w:t>a home-dog-value play: V123 backing home dogs when V119 wants the disallowed road favourite.</w:t>
      </w:r>
      <w:r>
        <w:t xml:space="preserve"> That is a real and well-documented angle — road favourites are systematically </w:t>
      </w:r>
      <w:proofErr w:type="spellStart"/>
      <w:r>
        <w:t>overbet</w:t>
      </w:r>
      <w:proofErr w:type="spellEnd"/>
      <w:r>
        <w:t>, and a line-anchored model misses the undervalued home dog precisely because it is following that road-favourite price.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100"/>
        <w:gridCol w:w="1100"/>
        <w:gridCol w:w="1300"/>
        <w:gridCol w:w="1380"/>
        <w:gridCol w:w="1280"/>
      </w:tblGrid>
      <w:tr w:rsidR="00DA6205" w14:paraId="033AC4C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B7B7B7"/>
              <w:left w:val="single" w:sz="1" w:space="0" w:color="B7B7B7"/>
              <w:bottom w:val="single" w:sz="1" w:space="0" w:color="B7B7B7"/>
              <w:right w:val="single" w:sz="1" w:space="0" w:color="B7B7B7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7E6BC44" w14:textId="77777777" w:rsidR="00DA6205" w:rsidRDefault="00000000">
            <w:r>
              <w:rPr>
                <w:b/>
                <w:bCs/>
                <w:color w:val="FFFFFF"/>
                <w:sz w:val="19"/>
                <w:szCs w:val="19"/>
              </w:rPr>
              <w:t>Slice (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outsample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>)</w:t>
            </w:r>
          </w:p>
        </w:tc>
        <w:tc>
          <w:tcPr>
            <w:tcW w:w="1100" w:type="dxa"/>
            <w:tcBorders>
              <w:top w:val="single" w:sz="1" w:space="0" w:color="B7B7B7"/>
              <w:left w:val="single" w:sz="1" w:space="0" w:color="B7B7B7"/>
              <w:bottom w:val="single" w:sz="1" w:space="0" w:color="B7B7B7"/>
              <w:right w:val="single" w:sz="1" w:space="0" w:color="B7B7B7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9D1738A" w14:textId="77777777" w:rsidR="00DA6205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Plays</w:t>
            </w:r>
          </w:p>
        </w:tc>
        <w:tc>
          <w:tcPr>
            <w:tcW w:w="1100" w:type="dxa"/>
            <w:tcBorders>
              <w:top w:val="single" w:sz="1" w:space="0" w:color="B7B7B7"/>
              <w:left w:val="single" w:sz="1" w:space="0" w:color="B7B7B7"/>
              <w:bottom w:val="single" w:sz="1" w:space="0" w:color="B7B7B7"/>
              <w:right w:val="single" w:sz="1" w:space="0" w:color="B7B7B7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4A521F" w14:textId="77777777" w:rsidR="00DA6205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Win %</w:t>
            </w:r>
          </w:p>
        </w:tc>
        <w:tc>
          <w:tcPr>
            <w:tcW w:w="1300" w:type="dxa"/>
            <w:tcBorders>
              <w:top w:val="single" w:sz="1" w:space="0" w:color="B7B7B7"/>
              <w:left w:val="single" w:sz="1" w:space="0" w:color="B7B7B7"/>
              <w:bottom w:val="single" w:sz="1" w:space="0" w:color="B7B7B7"/>
              <w:right w:val="single" w:sz="1" w:space="0" w:color="B7B7B7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53D32B2" w14:textId="77777777" w:rsidR="00DA6205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ROI full</w:t>
            </w:r>
          </w:p>
        </w:tc>
        <w:tc>
          <w:tcPr>
            <w:tcW w:w="1380" w:type="dxa"/>
            <w:tcBorders>
              <w:top w:val="single" w:sz="1" w:space="0" w:color="B7B7B7"/>
              <w:left w:val="single" w:sz="1" w:space="0" w:color="B7B7B7"/>
              <w:bottom w:val="single" w:sz="1" w:space="0" w:color="B7B7B7"/>
              <w:right w:val="single" w:sz="1" w:space="0" w:color="B7B7B7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7CEC2CA" w14:textId="77777777" w:rsidR="00DA6205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ROI 2026*</w:t>
            </w:r>
          </w:p>
        </w:tc>
        <w:tc>
          <w:tcPr>
            <w:tcW w:w="1280" w:type="dxa"/>
            <w:tcBorders>
              <w:top w:val="single" w:sz="1" w:space="0" w:color="B7B7B7"/>
              <w:left w:val="single" w:sz="1" w:space="0" w:color="B7B7B7"/>
              <w:bottom w:val="single" w:sz="1" w:space="0" w:color="B7B7B7"/>
              <w:right w:val="single" w:sz="1" w:space="0" w:color="B7B7B7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2138DFC" w14:textId="77777777" w:rsidR="00DA6205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Jun 2025</w:t>
            </w:r>
          </w:p>
        </w:tc>
      </w:tr>
      <w:tr w:rsidR="00DA6205" w14:paraId="78FA3E2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7B7B7"/>
              <w:left w:val="single" w:sz="1" w:space="0" w:color="B7B7B7"/>
              <w:bottom w:val="single" w:sz="1" w:space="0" w:color="B7B7B7"/>
              <w:right w:val="single" w:sz="1" w:space="0" w:color="B7B7B7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9BE408" w14:textId="77777777" w:rsidR="00DA6205" w:rsidRDefault="00000000">
            <w:r>
              <w:rPr>
                <w:b/>
                <w:bCs/>
                <w:color w:val="000000"/>
                <w:sz w:val="19"/>
                <w:szCs w:val="19"/>
              </w:rPr>
              <w:t>V119 disagrees with V123</w:t>
            </w:r>
          </w:p>
        </w:tc>
        <w:tc>
          <w:tcPr>
            <w:tcW w:w="1100" w:type="dxa"/>
            <w:tcBorders>
              <w:top w:val="single" w:sz="1" w:space="0" w:color="B7B7B7"/>
              <w:left w:val="single" w:sz="1" w:space="0" w:color="B7B7B7"/>
              <w:bottom w:val="single" w:sz="1" w:space="0" w:color="B7B7B7"/>
              <w:right w:val="single" w:sz="1" w:space="0" w:color="B7B7B7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787C34C" w14:textId="77777777" w:rsidR="00DA6205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37</w:t>
            </w:r>
          </w:p>
        </w:tc>
        <w:tc>
          <w:tcPr>
            <w:tcW w:w="1100" w:type="dxa"/>
            <w:tcBorders>
              <w:top w:val="single" w:sz="1" w:space="0" w:color="B7B7B7"/>
              <w:left w:val="single" w:sz="1" w:space="0" w:color="B7B7B7"/>
              <w:bottom w:val="single" w:sz="1" w:space="0" w:color="B7B7B7"/>
              <w:right w:val="single" w:sz="1" w:space="0" w:color="B7B7B7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5C3AE2" w14:textId="77777777" w:rsidR="00DA6205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43.2%</w:t>
            </w:r>
          </w:p>
        </w:tc>
        <w:tc>
          <w:tcPr>
            <w:tcW w:w="1300" w:type="dxa"/>
            <w:tcBorders>
              <w:top w:val="single" w:sz="1" w:space="0" w:color="B7B7B7"/>
              <w:left w:val="single" w:sz="1" w:space="0" w:color="B7B7B7"/>
              <w:bottom w:val="single" w:sz="1" w:space="0" w:color="B7B7B7"/>
              <w:right w:val="single" w:sz="1" w:space="0" w:color="B7B7B7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34BB590" w14:textId="77777777" w:rsidR="00DA6205" w:rsidRDefault="00000000">
            <w:pPr>
              <w:jc w:val="center"/>
            </w:pPr>
            <w:r>
              <w:rPr>
                <w:b/>
                <w:bCs/>
                <w:color w:val="C0392B"/>
                <w:sz w:val="19"/>
                <w:szCs w:val="19"/>
              </w:rPr>
              <w:t>−15.3%</w:t>
            </w:r>
          </w:p>
        </w:tc>
        <w:tc>
          <w:tcPr>
            <w:tcW w:w="1380" w:type="dxa"/>
            <w:tcBorders>
              <w:top w:val="single" w:sz="1" w:space="0" w:color="B7B7B7"/>
              <w:left w:val="single" w:sz="1" w:space="0" w:color="B7B7B7"/>
              <w:bottom w:val="single" w:sz="1" w:space="0" w:color="B7B7B7"/>
              <w:right w:val="single" w:sz="1" w:space="0" w:color="B7B7B7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A811767" w14:textId="77777777" w:rsidR="00DA6205" w:rsidRDefault="00000000">
            <w:pPr>
              <w:jc w:val="center"/>
            </w:pPr>
            <w:r>
              <w:rPr>
                <w:color w:val="C0392B"/>
                <w:sz w:val="19"/>
                <w:szCs w:val="19"/>
              </w:rPr>
              <w:t>−15.1%</w:t>
            </w:r>
          </w:p>
        </w:tc>
        <w:tc>
          <w:tcPr>
            <w:tcW w:w="1280" w:type="dxa"/>
            <w:tcBorders>
              <w:top w:val="single" w:sz="1" w:space="0" w:color="B7B7B7"/>
              <w:left w:val="single" w:sz="1" w:space="0" w:color="B7B7B7"/>
              <w:bottom w:val="single" w:sz="1" w:space="0" w:color="B7B7B7"/>
              <w:right w:val="single" w:sz="1" w:space="0" w:color="B7B7B7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56B85D6" w14:textId="77777777" w:rsidR="00DA6205" w:rsidRDefault="00000000">
            <w:pPr>
              <w:jc w:val="center"/>
            </w:pPr>
            <w:r>
              <w:rPr>
                <w:color w:val="C0392B"/>
                <w:sz w:val="19"/>
                <w:szCs w:val="19"/>
              </w:rPr>
              <w:t>−34.3% (n=3)</w:t>
            </w:r>
          </w:p>
        </w:tc>
      </w:tr>
      <w:tr w:rsidR="00DA6205" w14:paraId="175892E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7B7B7"/>
              <w:left w:val="single" w:sz="1" w:space="0" w:color="B7B7B7"/>
              <w:bottom w:val="single" w:sz="1" w:space="0" w:color="B7B7B7"/>
              <w:right w:val="single" w:sz="1" w:space="0" w:color="B7B7B7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32F4F16" w14:textId="77777777" w:rsidR="00DA6205" w:rsidRDefault="00000000">
            <w:r>
              <w:rPr>
                <w:b/>
                <w:bCs/>
                <w:color w:val="000000"/>
                <w:sz w:val="19"/>
                <w:szCs w:val="19"/>
              </w:rPr>
              <w:t>V123 disagrees with V119</w:t>
            </w:r>
          </w:p>
        </w:tc>
        <w:tc>
          <w:tcPr>
            <w:tcW w:w="1100" w:type="dxa"/>
            <w:tcBorders>
              <w:top w:val="single" w:sz="1" w:space="0" w:color="B7B7B7"/>
              <w:left w:val="single" w:sz="1" w:space="0" w:color="B7B7B7"/>
              <w:bottom w:val="single" w:sz="1" w:space="0" w:color="B7B7B7"/>
              <w:right w:val="single" w:sz="1" w:space="0" w:color="B7B7B7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8F9CEA4" w14:textId="77777777" w:rsidR="00DA6205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82</w:t>
            </w:r>
          </w:p>
        </w:tc>
        <w:tc>
          <w:tcPr>
            <w:tcW w:w="1100" w:type="dxa"/>
            <w:tcBorders>
              <w:top w:val="single" w:sz="1" w:space="0" w:color="B7B7B7"/>
              <w:left w:val="single" w:sz="1" w:space="0" w:color="B7B7B7"/>
              <w:bottom w:val="single" w:sz="1" w:space="0" w:color="B7B7B7"/>
              <w:right w:val="single" w:sz="1" w:space="0" w:color="B7B7B7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27946A3" w14:textId="77777777" w:rsidR="00DA6205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59.8%</w:t>
            </w:r>
          </w:p>
        </w:tc>
        <w:tc>
          <w:tcPr>
            <w:tcW w:w="1300" w:type="dxa"/>
            <w:tcBorders>
              <w:top w:val="single" w:sz="1" w:space="0" w:color="B7B7B7"/>
              <w:left w:val="single" w:sz="1" w:space="0" w:color="B7B7B7"/>
              <w:bottom w:val="single" w:sz="1" w:space="0" w:color="B7B7B7"/>
              <w:right w:val="single" w:sz="1" w:space="0" w:color="B7B7B7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197CBFB" w14:textId="77777777" w:rsidR="00DA6205" w:rsidRDefault="00000000">
            <w:pPr>
              <w:jc w:val="center"/>
            </w:pPr>
            <w:r>
              <w:rPr>
                <w:b/>
                <w:bCs/>
                <w:color w:val="2E7D32"/>
                <w:sz w:val="19"/>
                <w:szCs w:val="19"/>
              </w:rPr>
              <w:t>+20.7%</w:t>
            </w:r>
          </w:p>
        </w:tc>
        <w:tc>
          <w:tcPr>
            <w:tcW w:w="1380" w:type="dxa"/>
            <w:tcBorders>
              <w:top w:val="single" w:sz="1" w:space="0" w:color="B7B7B7"/>
              <w:left w:val="single" w:sz="1" w:space="0" w:color="B7B7B7"/>
              <w:bottom w:val="single" w:sz="1" w:space="0" w:color="B7B7B7"/>
              <w:right w:val="single" w:sz="1" w:space="0" w:color="B7B7B7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7794430" w14:textId="77777777" w:rsidR="00DA6205" w:rsidRDefault="00000000">
            <w:pPr>
              <w:jc w:val="center"/>
            </w:pPr>
            <w:r>
              <w:rPr>
                <w:color w:val="2E7D32"/>
                <w:sz w:val="19"/>
                <w:szCs w:val="19"/>
              </w:rPr>
              <w:t>+31.6%</w:t>
            </w:r>
          </w:p>
        </w:tc>
        <w:tc>
          <w:tcPr>
            <w:tcW w:w="1280" w:type="dxa"/>
            <w:tcBorders>
              <w:top w:val="single" w:sz="1" w:space="0" w:color="B7B7B7"/>
              <w:left w:val="single" w:sz="1" w:space="0" w:color="B7B7B7"/>
              <w:bottom w:val="single" w:sz="1" w:space="0" w:color="B7B7B7"/>
              <w:right w:val="single" w:sz="1" w:space="0" w:color="B7B7B7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2399D69" w14:textId="77777777" w:rsidR="00DA6205" w:rsidRDefault="00000000">
            <w:pPr>
              <w:jc w:val="center"/>
            </w:pPr>
            <w:r>
              <w:rPr>
                <w:color w:val="C0392B"/>
                <w:sz w:val="19"/>
                <w:szCs w:val="19"/>
              </w:rPr>
              <w:t>−21.6% (n=13)</w:t>
            </w:r>
          </w:p>
        </w:tc>
      </w:tr>
    </w:tbl>
    <w:p w14:paraId="3C09300A" w14:textId="77777777" w:rsidR="00DA6205" w:rsidRDefault="00000000">
      <w:pPr>
        <w:spacing w:before="40" w:after="180"/>
      </w:pPr>
      <w:r>
        <w:rPr>
          <w:i/>
          <w:iCs/>
          <w:color w:val="595959"/>
          <w:sz w:val="17"/>
          <w:szCs w:val="17"/>
        </w:rPr>
        <w:t>*“2026” here runs only to 5 June — it does NOT include the live 6–21 June lesion. Note V123’s disagreement edge already inverts in June 2025 (−21.6%, dogs −36.8%).</w:t>
      </w:r>
    </w:p>
    <w:p w14:paraId="4784D456" w14:textId="77777777" w:rsidR="00DA6205" w:rsidRDefault="00000000">
      <w:pPr>
        <w:spacing w:after="140" w:line="276" w:lineRule="auto"/>
      </w:pPr>
      <w:r>
        <w:rPr>
          <w:b/>
          <w:bCs/>
        </w:rPr>
        <w:lastRenderedPageBreak/>
        <w:t xml:space="preserve">The decomposition resolves the earlier contradiction. </w:t>
      </w:r>
      <w:r>
        <w:t xml:space="preserve">Every V119-disagree game is also a V123-disagree game, so the overlap is exactly 37 — leaving </w:t>
      </w:r>
      <w:r>
        <w:rPr>
          <w:b/>
          <w:bCs/>
        </w:rPr>
        <w:t>45 of the 82 (~55%) as games where V119 has no play at all</w:t>
      </w:r>
      <w:r>
        <w:t xml:space="preserve"> (its pick was a binned visitor favourite). Those 45 are V123 betting home dogs essentially solo. So roughly half the “disagreement” set is the very “V123-only / V119-silent” bucket your Implementation Plan rated −9.3% in 2026 and told you never to play alone. The +20.7% headline is mostly a statement about V123 home dogs, not about “disagreement” as an independent signal.</w:t>
      </w:r>
    </w:p>
    <w:p w14:paraId="4DD2C5E0" w14:textId="77777777" w:rsidR="00DA6205" w:rsidRDefault="00000000">
      <w:pPr>
        <w:spacing w:after="140" w:line="276" w:lineRule="auto"/>
      </w:pPr>
      <w:r>
        <w:rPr>
          <w:b/>
          <w:bCs/>
        </w:rPr>
        <w:t xml:space="preserve">And the raw comparison is not like-for-like. </w:t>
      </w:r>
      <w:r>
        <w:t>V119-disagree (37) and V123-disagree (82) survive different policy filters — the no-</w:t>
      </w:r>
      <w:proofErr w:type="spellStart"/>
      <w:r>
        <w:t>VisFave</w:t>
      </w:r>
      <w:proofErr w:type="spellEnd"/>
      <w:r>
        <w:t xml:space="preserve"> ban spares V123’s side far more often — so “−15.3% vs +20.7%” is partly an artefact of which picks the policy happens to allow, not a clean test of skill on the same games.</w:t>
      </w:r>
    </w:p>
    <w:p w14:paraId="29FE0C07" w14:textId="77777777" w:rsidR="00DA6205" w:rsidRDefault="00000000">
      <w:pPr>
        <w:spacing w:after="140" w:line="276" w:lineRule="auto"/>
      </w:pPr>
      <w:r>
        <w:t xml:space="preserve">Why it is not yet safe to run live — five reasons, and they rhyme with the </w:t>
      </w:r>
      <w:proofErr w:type="spellStart"/>
      <w:r>
        <w:t>StatsOnly</w:t>
      </w:r>
      <w:proofErr w:type="spellEnd"/>
      <w:r>
        <w:t xml:space="preserve"> case:</w:t>
      </w:r>
    </w:p>
    <w:p w14:paraId="1220205E" w14:textId="77777777" w:rsidR="00DA6205" w:rsidRDefault="00000000">
      <w:pPr>
        <w:pStyle w:val="ListParagraph"/>
        <w:numPr>
          <w:ilvl w:val="0"/>
          <w:numId w:val="2"/>
        </w:numPr>
        <w:spacing w:after="90" w:line="270" w:lineRule="auto"/>
      </w:pPr>
      <w:r>
        <w:rPr>
          <w:b/>
          <w:bCs/>
        </w:rPr>
        <w:t xml:space="preserve">It </w:t>
      </w:r>
      <w:proofErr w:type="spellStart"/>
      <w:r>
        <w:rPr>
          <w:b/>
          <w:bCs/>
        </w:rPr>
        <w:t>inverts</w:t>
      </w:r>
      <w:proofErr w:type="spellEnd"/>
      <w:r>
        <w:rPr>
          <w:b/>
          <w:bCs/>
        </w:rPr>
        <w:t xml:space="preserve"> in June, dog-side. </w:t>
      </w:r>
      <w:r>
        <w:t>June 2025 was −21.6% (dogs −36.8%), and the signal is 76% dogs (62 of 82) — and concentrated in home dogs specifically, which are the most June-fragile cell you have (−36.8% in June 2025; the −49.9% live cell in §4.2). Switching it on during the June home-dog lesion is maximally backwards timing.</w:t>
      </w:r>
    </w:p>
    <w:p w14:paraId="758675FC" w14:textId="77777777" w:rsidR="00DA6205" w:rsidRDefault="00000000">
      <w:pPr>
        <w:pStyle w:val="ListParagraph"/>
        <w:numPr>
          <w:ilvl w:val="0"/>
          <w:numId w:val="2"/>
        </w:numPr>
        <w:spacing w:after="90" w:line="270" w:lineRule="auto"/>
      </w:pPr>
      <w:r>
        <w:rPr>
          <w:b/>
          <w:bCs/>
        </w:rPr>
        <w:t xml:space="preserve">It is a post-hoc slice of the threshold-tuned </w:t>
      </w:r>
      <w:proofErr w:type="spellStart"/>
      <w:r>
        <w:rPr>
          <w:b/>
          <w:bCs/>
        </w:rPr>
        <w:t>outsample</w:t>
      </w:r>
      <w:proofErr w:type="spellEnd"/>
      <w:r>
        <w:rPr>
          <w:b/>
          <w:bCs/>
        </w:rPr>
        <w:t xml:space="preserve">, on small n </w:t>
      </w:r>
      <w:r>
        <w:t>(82 full, 35 in 2026). At n=35 the win-rate confidence interval still includes breakeven — impressive, not yet proven.</w:t>
      </w:r>
    </w:p>
    <w:p w14:paraId="42693B75" w14:textId="77777777" w:rsidR="00DA6205" w:rsidRDefault="00000000">
      <w:pPr>
        <w:pStyle w:val="ListParagraph"/>
        <w:numPr>
          <w:ilvl w:val="0"/>
          <w:numId w:val="2"/>
        </w:numPr>
        <w:spacing w:after="90" w:line="270" w:lineRule="auto"/>
      </w:pPr>
      <w:r>
        <w:rPr>
          <w:b/>
          <w:bCs/>
        </w:rPr>
        <w:t xml:space="preserve">It was never tested in the live June regime. </w:t>
      </w:r>
      <w:r>
        <w:t>Section 9’s “2026” stops at 5 June, so the +31.6% says nothing about 6–21 June — yet that is the regime it was switched on into.</w:t>
      </w:r>
    </w:p>
    <w:p w14:paraId="5A1ADB88" w14:textId="77777777" w:rsidR="00DA6205" w:rsidRDefault="00000000">
      <w:pPr>
        <w:pStyle w:val="ListParagraph"/>
        <w:numPr>
          <w:ilvl w:val="0"/>
          <w:numId w:val="2"/>
        </w:numPr>
        <w:spacing w:after="90" w:line="270" w:lineRule="auto"/>
      </w:pPr>
      <w:r>
        <w:rPr>
          <w:b/>
          <w:bCs/>
        </w:rPr>
        <w:t xml:space="preserve">About half of it is V123 playing home dogs solo </w:t>
      </w:r>
      <w:r>
        <w:t>(the 45 games where V119 is silent), which your own plan already rated −9.3% in 2026. The signal is not the independent confirmation that makes consensus strong; it is single-line-of-evidence home-dog exposure.</w:t>
      </w:r>
    </w:p>
    <w:p w14:paraId="5364DD0D" w14:textId="77777777" w:rsidR="00DA6205" w:rsidRDefault="00000000">
      <w:pPr>
        <w:spacing w:after="140" w:line="276" w:lineRule="auto"/>
      </w:pPr>
      <w:r>
        <w:rPr>
          <w:b/>
          <w:bCs/>
        </w:rPr>
        <w:t xml:space="preserve">In fairness, the home-dog angle may be real. </w:t>
      </w:r>
      <w:r>
        <w:t xml:space="preserve">Road favourites are systematically </w:t>
      </w:r>
      <w:proofErr w:type="spellStart"/>
      <w:r>
        <w:t>overbet</w:t>
      </w:r>
      <w:proofErr w:type="spellEnd"/>
      <w:r>
        <w:t>, so an undervalued-home-dog edge is plausible and worth validating — but as a home-dog-value strategy on a clean full season, with the no-</w:t>
      </w:r>
      <w:proofErr w:type="spellStart"/>
      <w:r>
        <w:t>VisFave</w:t>
      </w:r>
      <w:proofErr w:type="spellEnd"/>
      <w:r>
        <w:t xml:space="preserve"> filter applied symmetrically so the comparison is honest, not as a live slot taken mid-drawdown.</w:t>
      </w:r>
    </w:p>
    <w:p w14:paraId="5F812419" w14:textId="77777777" w:rsidR="00DA6205" w:rsidRDefault="00000000">
      <w:pPr>
        <w:pBdr>
          <w:top w:val="single" w:sz="2" w:space="6" w:color="D9E2EF"/>
          <w:left w:val="single" w:sz="18" w:space="8" w:color="1F3864"/>
          <w:bottom w:val="single" w:sz="2" w:space="6" w:color="D9E2EF"/>
          <w:right w:val="single" w:sz="2" w:space="6" w:color="D9E2EF"/>
        </w:pBdr>
        <w:shd w:val="clear" w:color="auto" w:fill="F2F6FB"/>
        <w:spacing w:before="60" w:after="140"/>
      </w:pPr>
      <w:r>
        <w:rPr>
          <w:b/>
          <w:bCs/>
        </w:rPr>
        <w:t xml:space="preserve">Decision. </w:t>
      </w:r>
      <w:r>
        <w:t xml:space="preserve">Revert yesterday’s addition — you are largely reverting V123-solo home-dog exposure at the worst possible moment. Run consensus-only (Setup 4) as the live spine, with the June dog de-risking in §9. Then validate the home-dog-value angle forward on a clean season, with the </w:t>
      </w:r>
      <w:proofErr w:type="spellStart"/>
      <w:r>
        <w:t>VisFave</w:t>
      </w:r>
      <w:proofErr w:type="spellEnd"/>
      <w:r>
        <w:t xml:space="preserve"> filter applied symmetrically, before deciding whether it earns a permanent place. Restrict to agreement now; keep the home-dog hypothesis open for outside June.</w:t>
      </w:r>
    </w:p>
    <w:p w14:paraId="21A60F7B" w14:textId="77777777" w:rsidR="00FD344A" w:rsidRDefault="00FD344A">
      <w:pPr>
        <w:rPr>
          <w:b/>
          <w:bCs/>
          <w:color w:val="1F3864"/>
          <w:sz w:val="28"/>
          <w:szCs w:val="28"/>
        </w:rPr>
      </w:pPr>
      <w:r>
        <w:br w:type="page"/>
      </w:r>
    </w:p>
    <w:p w14:paraId="7852ADE4" w14:textId="4513BF7E" w:rsidR="00DA6205" w:rsidRDefault="00000000">
      <w:pPr>
        <w:pStyle w:val="Heading1"/>
      </w:pPr>
      <w:r>
        <w:lastRenderedPageBreak/>
        <w:t>7.  But is it really “June”? Decompose before concluding</w:t>
      </w:r>
    </w:p>
    <w:p w14:paraId="16E609BA" w14:textId="77777777" w:rsidR="00DA6205" w:rsidRDefault="00000000">
      <w:pPr>
        <w:spacing w:after="140" w:line="276" w:lineRule="auto"/>
      </w:pPr>
      <w:r>
        <w:t xml:space="preserve">This is the most valuable line of inquiry, and it is right: “June” is most likely a </w:t>
      </w:r>
      <w:r>
        <w:rPr>
          <w:b/>
          <w:bCs/>
        </w:rPr>
        <w:t>label for a narrower regime</w:t>
      </w:r>
      <w:r>
        <w:t>, not a cause. Treating the whole month as the unit of analysis is too coarse. Two things point to a narrower culprit already visible in the data:</w:t>
      </w:r>
    </w:p>
    <w:p w14:paraId="120FEED4" w14:textId="77777777" w:rsidR="00DA6205" w:rsidRDefault="00000000">
      <w:pPr>
        <w:pStyle w:val="ListParagraph"/>
        <w:numPr>
          <w:ilvl w:val="0"/>
          <w:numId w:val="2"/>
        </w:numPr>
        <w:spacing w:after="90" w:line="270" w:lineRule="auto"/>
      </w:pPr>
      <w:r>
        <w:rPr>
          <w:b/>
          <w:bCs/>
        </w:rPr>
        <w:t xml:space="preserve">Home vs visitor dogs behave differently. </w:t>
      </w:r>
      <w:r>
        <w:t>The −49.9% home-dog cell is 4 plays in every variant — statistically meaningless. The visitor-dog cell carries most of the real volume (V119 −11.1% on 16; V123 −38.3% on 10; consensus −31.2% on 9). The damage is not “dogs”; it is concentrated and small.</w:t>
      </w:r>
    </w:p>
    <w:p w14:paraId="0849EEB8" w14:textId="77777777" w:rsidR="00DA6205" w:rsidRDefault="00000000">
      <w:pPr>
        <w:pStyle w:val="ListParagraph"/>
        <w:numPr>
          <w:ilvl w:val="0"/>
          <w:numId w:val="2"/>
        </w:numPr>
        <w:spacing w:after="90" w:line="270" w:lineRule="auto"/>
      </w:pPr>
      <w:r>
        <w:rPr>
          <w:b/>
          <w:bCs/>
        </w:rPr>
        <w:t xml:space="preserve">The band already excludes part of the problem. </w:t>
      </w:r>
      <w:r>
        <w:t>V123’s strong −115 to 150 result comes from removing the heavy-favourite region it cannot price. A price filter is doing real work — which suggests price band, not the calendar, is the right axis to cut on.</w:t>
      </w:r>
    </w:p>
    <w:p w14:paraId="1757C90F" w14:textId="77777777" w:rsidR="00DA6205" w:rsidRDefault="00000000">
      <w:pPr>
        <w:spacing w:after="140" w:line="276" w:lineRule="auto"/>
      </w:pPr>
      <w:r>
        <w:t>Candidate mechanisms worth testing (most plausible first):</w:t>
      </w:r>
    </w:p>
    <w:p w14:paraId="1DC9117A" w14:textId="77777777" w:rsidR="00DA6205" w:rsidRDefault="00000000">
      <w:pPr>
        <w:pStyle w:val="ListParagraph"/>
        <w:numPr>
          <w:ilvl w:val="0"/>
          <w:numId w:val="2"/>
        </w:numPr>
        <w:spacing w:after="90" w:line="270" w:lineRule="auto"/>
      </w:pPr>
      <w:r>
        <w:rPr>
          <w:b/>
          <w:bCs/>
        </w:rPr>
        <w:t xml:space="preserve">Stat / feature staleness vs market adjustment. </w:t>
      </w:r>
      <w:r>
        <w:t xml:space="preserve">By June the market has enough data to re-price teams aggressively, while rolling-window features still reflect April–May behaviour — a train-vs-serve drift that would hit exactly the teams whose true strength diverged from early-season stats. This is the strongest </w:t>
      </w:r>
      <w:proofErr w:type="gramStart"/>
      <w:r>
        <w:t>hypothesis</w:t>
      </w:r>
      <w:proofErr w:type="gramEnd"/>
      <w:r>
        <w:t xml:space="preserve"> and it is testable.</w:t>
      </w:r>
    </w:p>
    <w:p w14:paraId="45B044AB" w14:textId="77777777" w:rsidR="00DA6205" w:rsidRDefault="00000000">
      <w:pPr>
        <w:pStyle w:val="ListParagraph"/>
        <w:numPr>
          <w:ilvl w:val="0"/>
          <w:numId w:val="2"/>
        </w:numPr>
        <w:spacing w:after="90" w:line="270" w:lineRule="auto"/>
      </w:pPr>
      <w:r>
        <w:rPr>
          <w:b/>
          <w:bCs/>
        </w:rPr>
        <w:t xml:space="preserve">Pitcher-role instability. </w:t>
      </w:r>
      <w:r>
        <w:t>Role changes, injuries, call-ups and shifting bullpen usage degrade pitcher features specifically in this window.</w:t>
      </w:r>
    </w:p>
    <w:p w14:paraId="16473BAD" w14:textId="77777777" w:rsidR="00DA6205" w:rsidRDefault="00000000">
      <w:pPr>
        <w:pStyle w:val="ListParagraph"/>
        <w:numPr>
          <w:ilvl w:val="0"/>
          <w:numId w:val="2"/>
        </w:numPr>
        <w:spacing w:after="90" w:line="270" w:lineRule="auto"/>
      </w:pPr>
      <w:r>
        <w:rPr>
          <w:b/>
          <w:bCs/>
        </w:rPr>
        <w:t xml:space="preserve">Public-money shading — but check the sign. </w:t>
      </w:r>
      <w:r>
        <w:t xml:space="preserve">Heavier summer volume on favourites would lengthen dog prices and make dogs BETTER value, not worse — the opposite of what we see. </w:t>
      </w:r>
      <w:proofErr w:type="gramStart"/>
      <w:r>
        <w:t>So</w:t>
      </w:r>
      <w:proofErr w:type="gramEnd"/>
      <w:r>
        <w:t xml:space="preserve"> this mechanism as usually stated predicts the wrong direction; only a sharp-money-correcting-early-dogs variant would fit. Don’t assume it.</w:t>
      </w:r>
    </w:p>
    <w:p w14:paraId="45C9105F" w14:textId="77777777" w:rsidR="00DA6205" w:rsidRDefault="00000000">
      <w:pPr>
        <w:pStyle w:val="Heading2"/>
      </w:pPr>
      <w:proofErr w:type="gramStart"/>
      <w:r>
        <w:t>7.1  The</w:t>
      </w:r>
      <w:proofErr w:type="gramEnd"/>
      <w:r>
        <w:t xml:space="preserve"> test to run first (highest expected value)</w:t>
      </w:r>
    </w:p>
    <w:p w14:paraId="4D85F303" w14:textId="77777777" w:rsidR="00DA6205" w:rsidRDefault="00000000">
      <w:pPr>
        <w:spacing w:after="140" w:line="276" w:lineRule="auto"/>
      </w:pPr>
      <w:r>
        <w:t xml:space="preserve">Re-cut June 2025 and June 2026 (and ideally the full </w:t>
      </w:r>
      <w:proofErr w:type="spellStart"/>
      <w:r>
        <w:t>outsample</w:t>
      </w:r>
      <w:proofErr w:type="spellEnd"/>
      <w:r>
        <w:t xml:space="preserve">) along price and side, not the calendar. The source tables you supplied do not contain these splits, so </w:t>
      </w:r>
      <w:proofErr w:type="gramStart"/>
      <w:r>
        <w:t>this needs</w:t>
      </w:r>
      <w:proofErr w:type="gramEnd"/>
      <w:r>
        <w:t xml:space="preserve"> running in the sheet: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DA6205" w14:paraId="374FFDA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B7B7B7"/>
              <w:left w:val="single" w:sz="1" w:space="0" w:color="B7B7B7"/>
              <w:bottom w:val="single" w:sz="1" w:space="0" w:color="B7B7B7"/>
              <w:right w:val="single" w:sz="1" w:space="0" w:color="B7B7B7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6C8A683" w14:textId="77777777" w:rsidR="00DA6205" w:rsidRDefault="00000000">
            <w:r>
              <w:rPr>
                <w:b/>
                <w:bCs/>
                <w:color w:val="FFFFFF"/>
                <w:sz w:val="19"/>
                <w:szCs w:val="19"/>
              </w:rPr>
              <w:t>Cut</w:t>
            </w:r>
          </w:p>
        </w:tc>
        <w:tc>
          <w:tcPr>
            <w:tcW w:w="6960" w:type="dxa"/>
            <w:tcBorders>
              <w:top w:val="single" w:sz="1" w:space="0" w:color="B7B7B7"/>
              <w:left w:val="single" w:sz="1" w:space="0" w:color="B7B7B7"/>
              <w:bottom w:val="single" w:sz="1" w:space="0" w:color="B7B7B7"/>
              <w:right w:val="single" w:sz="1" w:space="0" w:color="B7B7B7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AA8C30F" w14:textId="77777777" w:rsidR="00DA6205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Buckets to compare (June 2025 and June 2026 separately)</w:t>
            </w:r>
          </w:p>
        </w:tc>
      </w:tr>
      <w:tr w:rsidR="00DA6205" w14:paraId="1CCAEB0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7B7B7"/>
              <w:left w:val="single" w:sz="1" w:space="0" w:color="B7B7B7"/>
              <w:bottom w:val="single" w:sz="1" w:space="0" w:color="B7B7B7"/>
              <w:right w:val="single" w:sz="1" w:space="0" w:color="B7B7B7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C1C19D" w14:textId="77777777" w:rsidR="00DA6205" w:rsidRDefault="00000000">
            <w:r>
              <w:rPr>
                <w:b/>
                <w:bCs/>
                <w:color w:val="000000"/>
                <w:sz w:val="19"/>
                <w:szCs w:val="19"/>
              </w:rPr>
              <w:t>Dog price band</w:t>
            </w:r>
          </w:p>
        </w:tc>
        <w:tc>
          <w:tcPr>
            <w:tcW w:w="6960" w:type="dxa"/>
            <w:tcBorders>
              <w:top w:val="single" w:sz="1" w:space="0" w:color="B7B7B7"/>
              <w:left w:val="single" w:sz="1" w:space="0" w:color="B7B7B7"/>
              <w:bottom w:val="single" w:sz="1" w:space="0" w:color="B7B7B7"/>
              <w:right w:val="single" w:sz="1" w:space="0" w:color="B7B7B7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2D5963" w14:textId="77777777" w:rsidR="00DA6205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+100 to +</w:t>
            </w:r>
            <w:proofErr w:type="gramStart"/>
            <w:r>
              <w:rPr>
                <w:color w:val="000000"/>
                <w:sz w:val="19"/>
                <w:szCs w:val="19"/>
              </w:rPr>
              <w:t>125  vs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  +126 to +</w:t>
            </w:r>
            <w:proofErr w:type="gramStart"/>
            <w:r>
              <w:rPr>
                <w:color w:val="000000"/>
                <w:sz w:val="19"/>
                <w:szCs w:val="19"/>
              </w:rPr>
              <w:t>150  (</w:t>
            </w:r>
            <w:proofErr w:type="gramEnd"/>
            <w:r>
              <w:rPr>
                <w:color w:val="000000"/>
                <w:sz w:val="19"/>
                <w:szCs w:val="19"/>
              </w:rPr>
              <w:t>then finer: +100/+115, +116/+130, +131/+150)</w:t>
            </w:r>
          </w:p>
        </w:tc>
      </w:tr>
      <w:tr w:rsidR="00DA6205" w14:paraId="31237DE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7B7B7"/>
              <w:left w:val="single" w:sz="1" w:space="0" w:color="B7B7B7"/>
              <w:bottom w:val="single" w:sz="1" w:space="0" w:color="B7B7B7"/>
              <w:right w:val="single" w:sz="1" w:space="0" w:color="B7B7B7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A750FF" w14:textId="77777777" w:rsidR="00DA6205" w:rsidRDefault="00000000">
            <w:r>
              <w:rPr>
                <w:b/>
                <w:bCs/>
                <w:color w:val="000000"/>
                <w:sz w:val="19"/>
                <w:szCs w:val="19"/>
              </w:rPr>
              <w:t>Favourite price band</w:t>
            </w:r>
          </w:p>
        </w:tc>
        <w:tc>
          <w:tcPr>
            <w:tcW w:w="6960" w:type="dxa"/>
            <w:tcBorders>
              <w:top w:val="single" w:sz="1" w:space="0" w:color="B7B7B7"/>
              <w:left w:val="single" w:sz="1" w:space="0" w:color="B7B7B7"/>
              <w:bottom w:val="single" w:sz="1" w:space="0" w:color="B7B7B7"/>
              <w:right w:val="single" w:sz="1" w:space="0" w:color="B7B7B7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0DB1E3A" w14:textId="77777777" w:rsidR="00DA6205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−100 to −</w:t>
            </w:r>
            <w:proofErr w:type="gramStart"/>
            <w:r>
              <w:rPr>
                <w:color w:val="000000"/>
                <w:sz w:val="19"/>
                <w:szCs w:val="19"/>
              </w:rPr>
              <w:t>115  vs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  −116 to −150</w:t>
            </w:r>
          </w:p>
        </w:tc>
      </w:tr>
      <w:tr w:rsidR="00DA6205" w14:paraId="32B1AB3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7B7B7"/>
              <w:left w:val="single" w:sz="1" w:space="0" w:color="B7B7B7"/>
              <w:bottom w:val="single" w:sz="1" w:space="0" w:color="B7B7B7"/>
              <w:right w:val="single" w:sz="1" w:space="0" w:color="B7B7B7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9A0B5F2" w14:textId="77777777" w:rsidR="00DA6205" w:rsidRDefault="00000000">
            <w:r>
              <w:rPr>
                <w:b/>
                <w:bCs/>
                <w:color w:val="000000"/>
                <w:sz w:val="19"/>
                <w:szCs w:val="19"/>
              </w:rPr>
              <w:t>Side</w:t>
            </w:r>
          </w:p>
        </w:tc>
        <w:tc>
          <w:tcPr>
            <w:tcW w:w="6960" w:type="dxa"/>
            <w:tcBorders>
              <w:top w:val="single" w:sz="1" w:space="0" w:color="B7B7B7"/>
              <w:left w:val="single" w:sz="1" w:space="0" w:color="B7B7B7"/>
              <w:bottom w:val="single" w:sz="1" w:space="0" w:color="B7B7B7"/>
              <w:right w:val="single" w:sz="1" w:space="0" w:color="B7B7B7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570C7E6" w14:textId="77777777" w:rsidR="00DA6205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Home-Dog vs Visitor-Dog; Home-</w:t>
            </w:r>
            <w:proofErr w:type="spellStart"/>
            <w:r>
              <w:rPr>
                <w:color w:val="000000"/>
                <w:sz w:val="19"/>
                <w:szCs w:val="19"/>
              </w:rPr>
              <w:t>Fave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vs Visitor-</w:t>
            </w:r>
            <w:proofErr w:type="spellStart"/>
            <w:r>
              <w:rPr>
                <w:color w:val="000000"/>
                <w:sz w:val="19"/>
                <w:szCs w:val="19"/>
              </w:rPr>
              <w:t>Fave</w:t>
            </w:r>
            <w:proofErr w:type="spellEnd"/>
          </w:p>
        </w:tc>
      </w:tr>
      <w:tr w:rsidR="00DA6205" w14:paraId="461939B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7B7B7"/>
              <w:left w:val="single" w:sz="1" w:space="0" w:color="B7B7B7"/>
              <w:bottom w:val="single" w:sz="1" w:space="0" w:color="B7B7B7"/>
              <w:right w:val="single" w:sz="1" w:space="0" w:color="B7B7B7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502C6C1" w14:textId="77777777" w:rsidR="00DA6205" w:rsidRDefault="00000000">
            <w:r>
              <w:rPr>
                <w:b/>
                <w:bCs/>
                <w:color w:val="000000"/>
                <w:sz w:val="19"/>
                <w:szCs w:val="19"/>
              </w:rPr>
              <w:t>Membership</w:t>
            </w:r>
          </w:p>
        </w:tc>
        <w:tc>
          <w:tcPr>
            <w:tcW w:w="6960" w:type="dxa"/>
            <w:tcBorders>
              <w:top w:val="single" w:sz="1" w:space="0" w:color="B7B7B7"/>
              <w:left w:val="single" w:sz="1" w:space="0" w:color="B7B7B7"/>
              <w:bottom w:val="single" w:sz="1" w:space="0" w:color="B7B7B7"/>
              <w:right w:val="single" w:sz="1" w:space="0" w:color="B7B7B7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68FCF87" w14:textId="77777777" w:rsidR="00DA6205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Consensus vs V119-only vs V123-only, within each band</w:t>
            </w:r>
          </w:p>
        </w:tc>
      </w:tr>
    </w:tbl>
    <w:p w14:paraId="50C83337" w14:textId="77777777" w:rsidR="00DA6205" w:rsidRDefault="00000000">
      <w:pPr>
        <w:spacing w:before="40" w:after="180"/>
      </w:pPr>
      <w:r>
        <w:rPr>
          <w:i/>
          <w:iCs/>
          <w:color w:val="595959"/>
          <w:sz w:val="17"/>
          <w:szCs w:val="17"/>
        </w:rPr>
        <w:t>If, say, +100/+125 dogs are roughly flat while +126/+150 dogs are −35%, then June is not a “dog problem” — it is a moderate/long-dog pricing problem you can excise surgically, preserving most of the long-run dog edge.</w:t>
      </w:r>
    </w:p>
    <w:p w14:paraId="2B61A9FC" w14:textId="77777777" w:rsidR="00DA6205" w:rsidRDefault="00000000">
      <w:pPr>
        <w:spacing w:after="140" w:line="276" w:lineRule="auto"/>
      </w:pPr>
      <w:r>
        <w:t>The pay-off is concrete: if one narrow band is doing most of the damage, you restore full stake on the safe dog band and trim only the harmful one — keeping the alpha instead of blunting all of it. Until that test is run, treat any blanket “June” rule as provisional.</w:t>
      </w:r>
    </w:p>
    <w:p w14:paraId="2538E431" w14:textId="77777777" w:rsidR="00FD344A" w:rsidRDefault="00FD344A">
      <w:pPr>
        <w:rPr>
          <w:b/>
          <w:bCs/>
          <w:color w:val="1F3864"/>
          <w:sz w:val="28"/>
          <w:szCs w:val="28"/>
        </w:rPr>
      </w:pPr>
      <w:r>
        <w:br w:type="page"/>
      </w:r>
    </w:p>
    <w:p w14:paraId="5CC2FCB1" w14:textId="778E329F" w:rsidR="00DA6205" w:rsidRDefault="00000000">
      <w:pPr>
        <w:pStyle w:val="Heading1"/>
      </w:pPr>
      <w:r>
        <w:lastRenderedPageBreak/>
        <w:t>8.  The −115 to 150 band: real signal, but mind the framing</w:t>
      </w:r>
    </w:p>
    <w:p w14:paraId="3F64EB77" w14:textId="77777777" w:rsidR="00DA6205" w:rsidRDefault="00000000">
      <w:pPr>
        <w:spacing w:after="140" w:line="276" w:lineRule="auto"/>
      </w:pPr>
      <w:r>
        <w:t>Restricting V123 to the −115 to 150 band lifts it from 526 plays / 9.5% to 344 plays / 20.4%, Sharpe 2.15 → 3.80. That is a large, mechanically-sensible improvement — the filter strips the heavy-favourite region a line-blind model cannot price. It is worth investigating as a structural change. Three disciplines before banking it:</w:t>
      </w:r>
    </w:p>
    <w:p w14:paraId="1DAA13EB" w14:textId="77777777" w:rsidR="00DA6205" w:rsidRDefault="00000000">
      <w:pPr>
        <w:pStyle w:val="ListParagraph"/>
        <w:numPr>
          <w:ilvl w:val="0"/>
          <w:numId w:val="2"/>
        </w:numPr>
        <w:spacing w:after="90" w:line="270" w:lineRule="auto"/>
      </w:pPr>
      <w:r>
        <w:rPr>
          <w:b/>
          <w:bCs/>
        </w:rPr>
        <w:t xml:space="preserve">Test it on the consensus book, not solo V123. </w:t>
      </w:r>
      <w:r>
        <w:t xml:space="preserve">Your own plan concluded V123 must never play alone (solo dogs −10.3% in 2026, solo </w:t>
      </w:r>
      <w:proofErr w:type="spellStart"/>
      <w:r>
        <w:t>faves</w:t>
      </w:r>
      <w:proofErr w:type="spellEnd"/>
      <w:r>
        <w:t xml:space="preserve"> −12.7%). The 20.4% is a solo number for a strategy you don’t deploy. The deployable question is whether a price filter improves Setup 4.</w:t>
      </w:r>
    </w:p>
    <w:p w14:paraId="20CAD020" w14:textId="77777777" w:rsidR="00DA6205" w:rsidRDefault="00000000">
      <w:pPr>
        <w:pStyle w:val="ListParagraph"/>
        <w:numPr>
          <w:ilvl w:val="0"/>
          <w:numId w:val="2"/>
        </w:numPr>
        <w:spacing w:after="90" w:line="270" w:lineRule="auto"/>
      </w:pPr>
      <w:r>
        <w:rPr>
          <w:b/>
          <w:bCs/>
        </w:rPr>
        <w:t xml:space="preserve">Discount the magnitude until </w:t>
      </w:r>
      <w:proofErr w:type="gramStart"/>
      <w:r>
        <w:rPr>
          <w:b/>
          <w:bCs/>
        </w:rPr>
        <w:t>forward-validated</w:t>
      </w:r>
      <w:proofErr w:type="gramEnd"/>
      <w:r>
        <w:rPr>
          <w:b/>
          <w:bCs/>
        </w:rPr>
        <w:t xml:space="preserve">. </w:t>
      </w:r>
      <w:r>
        <w:t xml:space="preserve">A filter found on the eval set that doubles ROI by dropping a third of trades is the signature of post-hoc </w:t>
      </w:r>
      <w:proofErr w:type="spellStart"/>
      <w:r>
        <w:t>subsetting</w:t>
      </w:r>
      <w:proofErr w:type="spellEnd"/>
      <w:r>
        <w:t>. The mechanism gives it credibility; the size is likely flattered. Confirm on live data before sizing to it.</w:t>
      </w:r>
    </w:p>
    <w:p w14:paraId="1F9F267B" w14:textId="77777777" w:rsidR="00DA6205" w:rsidRDefault="00000000">
      <w:pPr>
        <w:pStyle w:val="ListParagraph"/>
        <w:numPr>
          <w:ilvl w:val="0"/>
          <w:numId w:val="2"/>
        </w:numPr>
        <w:spacing w:after="90" w:line="270" w:lineRule="auto"/>
      </w:pPr>
      <w:r>
        <w:rPr>
          <w:b/>
          <w:bCs/>
        </w:rPr>
        <w:t xml:space="preserve">Keep it out of the June decision. </w:t>
      </w:r>
      <w:r>
        <w:t>The band is a full-sample, dog-side property and it was −1.8% in June 2025. It does not rescue June — it is a separate, parallel R&amp;D item.</w:t>
      </w:r>
    </w:p>
    <w:p w14:paraId="379401C5" w14:textId="77777777" w:rsidR="00DA6205" w:rsidRDefault="00000000">
      <w:pPr>
        <w:pStyle w:val="Heading1"/>
      </w:pPr>
      <w:r>
        <w:t>9.  Recommendation for 23–30 June — reduce and investigate</w:t>
      </w:r>
    </w:p>
    <w:p w14:paraId="4414A82D" w14:textId="77777777" w:rsidR="00DA6205" w:rsidRDefault="00000000">
      <w:pPr>
        <w:spacing w:after="140" w:line="276" w:lineRule="auto"/>
      </w:pPr>
      <w:r>
        <w:rPr>
          <w:b/>
          <w:bCs/>
          <w:sz w:val="24"/>
          <w:szCs w:val="24"/>
        </w:rPr>
        <w:t xml:space="preserve">Graduated de-risking, not a model swap and not a shutdown.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700"/>
        <w:gridCol w:w="5160"/>
      </w:tblGrid>
      <w:tr w:rsidR="00DA6205" w14:paraId="106CD1F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B7B7B7"/>
              <w:left w:val="single" w:sz="1" w:space="0" w:color="B7B7B7"/>
              <w:bottom w:val="single" w:sz="1" w:space="0" w:color="B7B7B7"/>
              <w:right w:val="single" w:sz="1" w:space="0" w:color="B7B7B7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784965E" w14:textId="77777777" w:rsidR="00DA6205" w:rsidRDefault="00000000">
            <w:r>
              <w:rPr>
                <w:b/>
                <w:bCs/>
                <w:color w:val="FFFFFF"/>
                <w:sz w:val="19"/>
                <w:szCs w:val="19"/>
              </w:rPr>
              <w:t>Play type</w:t>
            </w:r>
          </w:p>
        </w:tc>
        <w:tc>
          <w:tcPr>
            <w:tcW w:w="1700" w:type="dxa"/>
            <w:tcBorders>
              <w:top w:val="single" w:sz="1" w:space="0" w:color="B7B7B7"/>
              <w:left w:val="single" w:sz="1" w:space="0" w:color="B7B7B7"/>
              <w:bottom w:val="single" w:sz="1" w:space="0" w:color="B7B7B7"/>
              <w:right w:val="single" w:sz="1" w:space="0" w:color="B7B7B7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489940D" w14:textId="77777777" w:rsidR="00DA6205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June stake</w:t>
            </w:r>
          </w:p>
        </w:tc>
        <w:tc>
          <w:tcPr>
            <w:tcW w:w="5160" w:type="dxa"/>
            <w:tcBorders>
              <w:top w:val="single" w:sz="1" w:space="0" w:color="B7B7B7"/>
              <w:left w:val="single" w:sz="1" w:space="0" w:color="B7B7B7"/>
              <w:bottom w:val="single" w:sz="1" w:space="0" w:color="B7B7B7"/>
              <w:right w:val="single" w:sz="1" w:space="0" w:color="B7B7B7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0192E3" w14:textId="77777777" w:rsidR="00DA6205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Reasoning</w:t>
            </w:r>
          </w:p>
        </w:tc>
      </w:tr>
      <w:tr w:rsidR="00DA6205" w14:paraId="243AA46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7B7B7"/>
              <w:left w:val="single" w:sz="1" w:space="0" w:color="B7B7B7"/>
              <w:bottom w:val="single" w:sz="1" w:space="0" w:color="B7B7B7"/>
              <w:right w:val="single" w:sz="1" w:space="0" w:color="B7B7B7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9C0308C" w14:textId="77777777" w:rsidR="00DA6205" w:rsidRDefault="00000000">
            <w:r>
              <w:rPr>
                <w:b/>
                <w:bCs/>
                <w:color w:val="000000"/>
                <w:sz w:val="19"/>
                <w:szCs w:val="19"/>
              </w:rPr>
              <w:t>Consensus Dogs</w:t>
            </w:r>
          </w:p>
        </w:tc>
        <w:tc>
          <w:tcPr>
            <w:tcW w:w="1700" w:type="dxa"/>
            <w:tcBorders>
              <w:top w:val="single" w:sz="1" w:space="0" w:color="B7B7B7"/>
              <w:left w:val="single" w:sz="1" w:space="0" w:color="B7B7B7"/>
              <w:bottom w:val="single" w:sz="1" w:space="0" w:color="B7B7B7"/>
              <w:right w:val="single" w:sz="1" w:space="0" w:color="B7B7B7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D1344B3" w14:textId="77777777" w:rsidR="00DA6205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25–33%</w:t>
            </w:r>
          </w:p>
        </w:tc>
        <w:tc>
          <w:tcPr>
            <w:tcW w:w="5160" w:type="dxa"/>
            <w:tcBorders>
              <w:top w:val="single" w:sz="1" w:space="0" w:color="B7B7B7"/>
              <w:left w:val="single" w:sz="1" w:space="0" w:color="B7B7B7"/>
              <w:bottom w:val="single" w:sz="1" w:space="0" w:color="B7B7B7"/>
              <w:right w:val="single" w:sz="1" w:space="0" w:color="B7B7B7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73F58B4" w14:textId="77777777" w:rsidR="00DA6205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Strongest proven long-run signal (+18.8% full / +19.1% 2026). Reduce to respect the regime, but do not eliminate — the bad evidence is ~13–31 dog plays across two Junes, one of which was net-positive overall.</w:t>
            </w:r>
          </w:p>
        </w:tc>
      </w:tr>
      <w:tr w:rsidR="00DA6205" w14:paraId="7F880D9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7B7B7"/>
              <w:left w:val="single" w:sz="1" w:space="0" w:color="B7B7B7"/>
              <w:bottom w:val="single" w:sz="1" w:space="0" w:color="B7B7B7"/>
              <w:right w:val="single" w:sz="1" w:space="0" w:color="B7B7B7"/>
            </w:tcBorders>
            <w:shd w:val="clear" w:color="auto" w:fill="E2EFD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8C26B18" w14:textId="77777777" w:rsidR="00DA6205" w:rsidRDefault="00000000">
            <w:r>
              <w:rPr>
                <w:b/>
                <w:bCs/>
                <w:color w:val="000000"/>
                <w:sz w:val="19"/>
                <w:szCs w:val="19"/>
              </w:rPr>
              <w:t xml:space="preserve">Consensus </w:t>
            </w:r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Faves</w:t>
            </w:r>
            <w:proofErr w:type="spellEnd"/>
          </w:p>
        </w:tc>
        <w:tc>
          <w:tcPr>
            <w:tcW w:w="1700" w:type="dxa"/>
            <w:tcBorders>
              <w:top w:val="single" w:sz="1" w:space="0" w:color="B7B7B7"/>
              <w:left w:val="single" w:sz="1" w:space="0" w:color="B7B7B7"/>
              <w:bottom w:val="single" w:sz="1" w:space="0" w:color="B7B7B7"/>
              <w:right w:val="single" w:sz="1" w:space="0" w:color="B7B7B7"/>
            </w:tcBorders>
            <w:shd w:val="clear" w:color="auto" w:fill="E2EFD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59369D5" w14:textId="77777777" w:rsidR="00DA6205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50%</w:t>
            </w:r>
          </w:p>
        </w:tc>
        <w:tc>
          <w:tcPr>
            <w:tcW w:w="5160" w:type="dxa"/>
            <w:tcBorders>
              <w:top w:val="single" w:sz="1" w:space="0" w:color="B7B7B7"/>
              <w:left w:val="single" w:sz="1" w:space="0" w:color="B7B7B7"/>
              <w:bottom w:val="single" w:sz="1" w:space="0" w:color="B7B7B7"/>
              <w:right w:val="single" w:sz="1" w:space="0" w:color="B7B7B7"/>
            </w:tcBorders>
            <w:shd w:val="clear" w:color="auto" w:fill="E2EFD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35002CC" w14:textId="77777777" w:rsidR="00DA6205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The one cell that wins in both Junes (+26.8% in 2025, +48.5% in the 2026 fortnight).</w:t>
            </w:r>
          </w:p>
        </w:tc>
      </w:tr>
      <w:tr w:rsidR="00DA6205" w14:paraId="09B50E0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7B7B7"/>
              <w:left w:val="single" w:sz="1" w:space="0" w:color="B7B7B7"/>
              <w:bottom w:val="single" w:sz="1" w:space="0" w:color="B7B7B7"/>
              <w:right w:val="single" w:sz="1" w:space="0" w:color="B7B7B7"/>
            </w:tcBorders>
            <w:shd w:val="clear" w:color="auto" w:fill="E2EFD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17E76FB" w14:textId="77777777" w:rsidR="00DA6205" w:rsidRDefault="00000000">
            <w:r>
              <w:rPr>
                <w:b/>
                <w:bCs/>
                <w:color w:val="000000"/>
                <w:sz w:val="19"/>
                <w:szCs w:val="19"/>
              </w:rPr>
              <w:t xml:space="preserve">V119-only </w:t>
            </w:r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Faves</w:t>
            </w:r>
            <w:proofErr w:type="spellEnd"/>
          </w:p>
        </w:tc>
        <w:tc>
          <w:tcPr>
            <w:tcW w:w="1700" w:type="dxa"/>
            <w:tcBorders>
              <w:top w:val="single" w:sz="1" w:space="0" w:color="B7B7B7"/>
              <w:left w:val="single" w:sz="1" w:space="0" w:color="B7B7B7"/>
              <w:bottom w:val="single" w:sz="1" w:space="0" w:color="B7B7B7"/>
              <w:right w:val="single" w:sz="1" w:space="0" w:color="B7B7B7"/>
            </w:tcBorders>
            <w:shd w:val="clear" w:color="auto" w:fill="E2EFD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BA75148" w14:textId="77777777" w:rsidR="00DA6205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50%</w:t>
            </w:r>
          </w:p>
        </w:tc>
        <w:tc>
          <w:tcPr>
            <w:tcW w:w="5160" w:type="dxa"/>
            <w:tcBorders>
              <w:top w:val="single" w:sz="1" w:space="0" w:color="B7B7B7"/>
              <w:left w:val="single" w:sz="1" w:space="0" w:color="B7B7B7"/>
              <w:bottom w:val="single" w:sz="1" w:space="0" w:color="B7B7B7"/>
              <w:right w:val="single" w:sz="1" w:space="0" w:color="B7B7B7"/>
            </w:tcBorders>
            <w:shd w:val="clear" w:color="auto" w:fill="E2EFD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CE5DF52" w14:textId="77777777" w:rsidR="00DA6205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Mild but durable standalone favourite edge (+4.8% full / +7.3% in 2026).</w:t>
            </w:r>
          </w:p>
        </w:tc>
      </w:tr>
      <w:tr w:rsidR="00DA6205" w14:paraId="2E4FC51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7B7B7"/>
              <w:left w:val="single" w:sz="1" w:space="0" w:color="B7B7B7"/>
              <w:bottom w:val="single" w:sz="1" w:space="0" w:color="B7B7B7"/>
              <w:right w:val="single" w:sz="1" w:space="0" w:color="B7B7B7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1E8EA95" w14:textId="77777777" w:rsidR="00DA6205" w:rsidRDefault="00000000">
            <w:r>
              <w:rPr>
                <w:b/>
                <w:bCs/>
                <w:color w:val="000000"/>
                <w:sz w:val="19"/>
                <w:szCs w:val="19"/>
              </w:rPr>
              <w:t>V123-only plays</w:t>
            </w:r>
          </w:p>
        </w:tc>
        <w:tc>
          <w:tcPr>
            <w:tcW w:w="1700" w:type="dxa"/>
            <w:tcBorders>
              <w:top w:val="single" w:sz="1" w:space="0" w:color="B7B7B7"/>
              <w:left w:val="single" w:sz="1" w:space="0" w:color="B7B7B7"/>
              <w:bottom w:val="single" w:sz="1" w:space="0" w:color="B7B7B7"/>
              <w:right w:val="single" w:sz="1" w:space="0" w:color="B7B7B7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7C1225" w14:textId="77777777" w:rsidR="00DA6205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0%</w:t>
            </w:r>
          </w:p>
        </w:tc>
        <w:tc>
          <w:tcPr>
            <w:tcW w:w="5160" w:type="dxa"/>
            <w:tcBorders>
              <w:top w:val="single" w:sz="1" w:space="0" w:color="B7B7B7"/>
              <w:left w:val="single" w:sz="1" w:space="0" w:color="B7B7B7"/>
              <w:bottom w:val="single" w:sz="1" w:space="0" w:color="B7B7B7"/>
              <w:right w:val="single" w:sz="1" w:space="0" w:color="B7B7B7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5D1023E" w14:textId="77777777" w:rsidR="00DA6205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Plan rule: V123 never plays alone. Unchanged.</w:t>
            </w:r>
          </w:p>
        </w:tc>
      </w:tr>
      <w:tr w:rsidR="00DA6205" w14:paraId="0A64C04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7B7B7"/>
              <w:left w:val="single" w:sz="1" w:space="0" w:color="B7B7B7"/>
              <w:bottom w:val="single" w:sz="1" w:space="0" w:color="B7B7B7"/>
              <w:right w:val="single" w:sz="1" w:space="0" w:color="B7B7B7"/>
            </w:tcBorders>
            <w:shd w:val="clear" w:color="auto" w:fill="FFF2CC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549B30A" w14:textId="77777777" w:rsidR="00DA6205" w:rsidRDefault="00000000">
            <w:r>
              <w:rPr>
                <w:b/>
                <w:bCs/>
                <w:color w:val="000000"/>
                <w:sz w:val="19"/>
                <w:szCs w:val="19"/>
              </w:rPr>
              <w:t>Disagreement plays (§6)</w:t>
            </w:r>
          </w:p>
        </w:tc>
        <w:tc>
          <w:tcPr>
            <w:tcW w:w="1700" w:type="dxa"/>
            <w:tcBorders>
              <w:top w:val="single" w:sz="1" w:space="0" w:color="B7B7B7"/>
              <w:left w:val="single" w:sz="1" w:space="0" w:color="B7B7B7"/>
              <w:bottom w:val="single" w:sz="1" w:space="0" w:color="B7B7B7"/>
              <w:right w:val="single" w:sz="1" w:space="0" w:color="B7B7B7"/>
            </w:tcBorders>
            <w:shd w:val="clear" w:color="auto" w:fill="FFF2CC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76667BE" w14:textId="77777777" w:rsidR="00DA6205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Revert</w:t>
            </w:r>
          </w:p>
        </w:tc>
        <w:tc>
          <w:tcPr>
            <w:tcW w:w="5160" w:type="dxa"/>
            <w:tcBorders>
              <w:top w:val="single" w:sz="1" w:space="0" w:color="B7B7B7"/>
              <w:left w:val="single" w:sz="1" w:space="0" w:color="B7B7B7"/>
              <w:bottom w:val="single" w:sz="1" w:space="0" w:color="B7B7B7"/>
              <w:right w:val="single" w:sz="1" w:space="0" w:color="B7B7B7"/>
            </w:tcBorders>
            <w:shd w:val="clear" w:color="auto" w:fill="FFF2CC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A6A715" w14:textId="77777777" w:rsidR="00DA6205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Remove yesterday’s addition from the live book. Promising but unvalidated, dog-heavy, and untested in the live June regime — validate forward before re-adding.</w:t>
            </w:r>
          </w:p>
        </w:tc>
      </w:tr>
      <w:tr w:rsidR="00DA6205" w14:paraId="70EE930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7B7B7"/>
              <w:left w:val="single" w:sz="1" w:space="0" w:color="B7B7B7"/>
              <w:bottom w:val="single" w:sz="1" w:space="0" w:color="B7B7B7"/>
              <w:right w:val="single" w:sz="1" w:space="0" w:color="B7B7B7"/>
            </w:tcBorders>
            <w:shd w:val="clear" w:color="auto" w:fill="FFF2CC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63109A1" w14:textId="77777777" w:rsidR="00DA6205" w:rsidRDefault="00000000">
            <w:r>
              <w:rPr>
                <w:b/>
                <w:bCs/>
                <w:color w:val="000000"/>
                <w:sz w:val="19"/>
                <w:szCs w:val="19"/>
              </w:rPr>
              <w:t>Wholesale V123 switch</w:t>
            </w:r>
          </w:p>
        </w:tc>
        <w:tc>
          <w:tcPr>
            <w:tcW w:w="1700" w:type="dxa"/>
            <w:tcBorders>
              <w:top w:val="single" w:sz="1" w:space="0" w:color="B7B7B7"/>
              <w:left w:val="single" w:sz="1" w:space="0" w:color="B7B7B7"/>
              <w:bottom w:val="single" w:sz="1" w:space="0" w:color="B7B7B7"/>
              <w:right w:val="single" w:sz="1" w:space="0" w:color="B7B7B7"/>
            </w:tcBorders>
            <w:shd w:val="clear" w:color="auto" w:fill="FFF2CC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24B5B47" w14:textId="77777777" w:rsidR="00DA6205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No</w:t>
            </w:r>
          </w:p>
        </w:tc>
        <w:tc>
          <w:tcPr>
            <w:tcW w:w="5160" w:type="dxa"/>
            <w:tcBorders>
              <w:top w:val="single" w:sz="1" w:space="0" w:color="B7B7B7"/>
              <w:left w:val="single" w:sz="1" w:space="0" w:color="B7B7B7"/>
              <w:bottom w:val="single" w:sz="1" w:space="0" w:color="B7B7B7"/>
              <w:right w:val="single" w:sz="1" w:space="0" w:color="B7B7B7"/>
            </w:tcBorders>
            <w:shd w:val="clear" w:color="auto" w:fill="FFF2CC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F97AF4" w14:textId="77777777" w:rsidR="00DA6205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Misdiagnosis; V123 lost money in June 2025. Do not switch the book.</w:t>
            </w:r>
          </w:p>
        </w:tc>
      </w:tr>
    </w:tbl>
    <w:p w14:paraId="0B8BF3E0" w14:textId="77777777" w:rsidR="00DA6205" w:rsidRDefault="00000000">
      <w:pPr>
        <w:spacing w:before="40" w:after="180"/>
      </w:pPr>
      <w:r>
        <w:rPr>
          <w:i/>
          <w:iCs/>
          <w:color w:val="595959"/>
          <w:sz w:val="17"/>
          <w:szCs w:val="17"/>
        </w:rPr>
        <w:t>Stakes are fractions of normal sizing. Hold overall June exposure modest — June is genuinely low-</w:t>
      </w:r>
      <w:proofErr w:type="gramStart"/>
      <w:r>
        <w:rPr>
          <w:i/>
          <w:iCs/>
          <w:color w:val="595959"/>
          <w:sz w:val="17"/>
          <w:szCs w:val="17"/>
        </w:rPr>
        <w:t>yield</w:t>
      </w:r>
      <w:proofErr w:type="gramEnd"/>
      <w:r>
        <w:rPr>
          <w:i/>
          <w:iCs/>
          <w:color w:val="595959"/>
          <w:sz w:val="17"/>
          <w:szCs w:val="17"/>
        </w:rPr>
        <w:t xml:space="preserve"> and the thresholds are </w:t>
      </w:r>
      <w:proofErr w:type="spellStart"/>
      <w:r>
        <w:rPr>
          <w:i/>
          <w:iCs/>
          <w:color w:val="595959"/>
          <w:sz w:val="17"/>
          <w:szCs w:val="17"/>
        </w:rPr>
        <w:t>outsample</w:t>
      </w:r>
      <w:proofErr w:type="spellEnd"/>
      <w:r>
        <w:rPr>
          <w:i/>
          <w:iCs/>
          <w:color w:val="595959"/>
          <w:sz w:val="17"/>
          <w:szCs w:val="17"/>
        </w:rPr>
        <w:t>-fitted.</w:t>
      </w:r>
    </w:p>
    <w:p w14:paraId="13179AFD" w14:textId="77777777" w:rsidR="00DA6205" w:rsidRDefault="00000000">
      <w:pPr>
        <w:spacing w:after="140" w:line="276" w:lineRule="auto"/>
      </w:pPr>
      <w:r>
        <w:rPr>
          <w:b/>
          <w:bCs/>
        </w:rPr>
        <w:t xml:space="preserve">Why graduated rather than off: </w:t>
      </w:r>
      <w:r>
        <w:t>turning off the system’s best long-run signal after one bad fortnight, on two June observations, is how edge gets accidentally killed. A 25–33% dog stake preserves the signal, keeps it generating data to test the seasonal hypothesis, and bounds the downside if the 2026 dog losses were largely variance — which, at ~13–20 plays, they may well be.</w:t>
      </w:r>
    </w:p>
    <w:p w14:paraId="0BA1A1BF" w14:textId="77777777" w:rsidR="00DA6205" w:rsidRDefault="00000000">
      <w:pPr>
        <w:spacing w:after="140" w:line="276" w:lineRule="auto"/>
      </w:pPr>
      <w:r>
        <w:rPr>
          <w:b/>
          <w:bCs/>
        </w:rPr>
        <w:t xml:space="preserve">Reinstate full Setup 4 in July. </w:t>
      </w:r>
      <w:r>
        <w:t>The live collapse is concentrated in June dogs, not the strategy at large, so the year-round edge is most likely intact outside June — and the decomposition in §6 may let you restore June dog stakes selectively even sooner.</w:t>
      </w:r>
    </w:p>
    <w:p w14:paraId="52C6DAF3" w14:textId="77777777" w:rsidR="00DA6205" w:rsidRDefault="00000000">
      <w:pPr>
        <w:pStyle w:val="Heading1"/>
      </w:pPr>
      <w:r>
        <w:lastRenderedPageBreak/>
        <w:t>10.  Caveats and discipline</w:t>
      </w:r>
    </w:p>
    <w:p w14:paraId="31CA8FD1" w14:textId="77777777" w:rsidR="00DA6205" w:rsidRDefault="00000000">
      <w:pPr>
        <w:pStyle w:val="ListParagraph"/>
        <w:numPr>
          <w:ilvl w:val="0"/>
          <w:numId w:val="2"/>
        </w:numPr>
        <w:spacing w:after="90" w:line="270" w:lineRule="auto"/>
      </w:pPr>
      <w:r>
        <w:rPr>
          <w:b/>
          <w:bCs/>
        </w:rPr>
        <w:t xml:space="preserve">Two Junes, one of them flattered, is not a law. </w:t>
      </w:r>
      <w:r>
        <w:t>June 2025’s thresholds were fitted in-window; June 2026 is clean but ~18–47 plays. Log side × band × month rigorously this June; confirm against a third season before any permanent seasonal rule.</w:t>
      </w:r>
    </w:p>
    <w:p w14:paraId="42FC2236" w14:textId="77777777" w:rsidR="00DA6205" w:rsidRDefault="00000000">
      <w:pPr>
        <w:pStyle w:val="ListParagraph"/>
        <w:numPr>
          <w:ilvl w:val="0"/>
          <w:numId w:val="2"/>
        </w:numPr>
        <w:spacing w:after="90" w:line="270" w:lineRule="auto"/>
      </w:pPr>
      <w:r>
        <w:rPr>
          <w:b/>
          <w:bCs/>
        </w:rPr>
        <w:t xml:space="preserve">Headline ROIs are optimistic. </w:t>
      </w:r>
      <w:r>
        <w:t xml:space="preserve">19.3% full / 12.0% 2026 come from </w:t>
      </w:r>
      <w:proofErr w:type="spellStart"/>
      <w:r>
        <w:t>outsample</w:t>
      </w:r>
      <w:proofErr w:type="spellEnd"/>
      <w:r>
        <w:t>-tuned thresholds; the first clean test (6–21 June live) was −19.5% on the full strategy. Size June conservatively regardless of which plays you keep.</w:t>
      </w:r>
    </w:p>
    <w:p w14:paraId="5DB950ED" w14:textId="77777777" w:rsidR="00DA6205" w:rsidRDefault="00000000">
      <w:pPr>
        <w:pStyle w:val="ListParagraph"/>
        <w:numPr>
          <w:ilvl w:val="0"/>
          <w:numId w:val="2"/>
        </w:numPr>
        <w:spacing w:after="90" w:line="270" w:lineRule="auto"/>
      </w:pPr>
      <w:r>
        <w:rPr>
          <w:b/>
          <w:bCs/>
        </w:rPr>
        <w:t xml:space="preserve">Confirm the closing-line basis. </w:t>
      </w:r>
      <w:r>
        <w:t xml:space="preserve">§8.1 results are on the closing line; ensure the favourite tilt survives at the mid-price you </w:t>
      </w:r>
      <w:proofErr w:type="gramStart"/>
      <w:r>
        <w:t>actually trade</w:t>
      </w:r>
      <w:proofErr w:type="gramEnd"/>
      <w:r>
        <w:t>.</w:t>
      </w:r>
    </w:p>
    <w:p w14:paraId="29626FBD" w14:textId="77777777" w:rsidR="00DA6205" w:rsidRDefault="00000000">
      <w:pPr>
        <w:pStyle w:val="ListParagraph"/>
        <w:numPr>
          <w:ilvl w:val="0"/>
          <w:numId w:val="2"/>
        </w:numPr>
        <w:spacing w:after="90" w:line="270" w:lineRule="auto"/>
      </w:pPr>
      <w:r>
        <w:rPr>
          <w:b/>
          <w:bCs/>
        </w:rPr>
        <w:t xml:space="preserve">Fix the V123 reconciliation. </w:t>
      </w:r>
      <w:r>
        <w:t>The June-2026 V123 sub-totals don’t tie to the headline — close that gap so no decision rests on a reporting artefact.</w:t>
      </w:r>
    </w:p>
    <w:p w14:paraId="40655EC1" w14:textId="77777777" w:rsidR="00DA6205" w:rsidRDefault="00000000">
      <w:pPr>
        <w:pStyle w:val="ListParagraph"/>
        <w:numPr>
          <w:ilvl w:val="0"/>
          <w:numId w:val="2"/>
        </w:numPr>
        <w:spacing w:after="90" w:line="270" w:lineRule="auto"/>
      </w:pPr>
      <w:r>
        <w:rPr>
          <w:b/>
          <w:bCs/>
        </w:rPr>
        <w:t xml:space="preserve">The slice contradiction is resolved — but the lesson stands. </w:t>
      </w:r>
      <w:r>
        <w:t>The disagreement (+31.6%) and V123-only (−9.3%) results overlap because ~half the disagreement set is V123 home dogs played solo; the no-</w:t>
      </w:r>
      <w:proofErr w:type="spellStart"/>
      <w:r>
        <w:t>VisFave</w:t>
      </w:r>
      <w:proofErr w:type="spellEnd"/>
      <w:r>
        <w:t xml:space="preserve"> filter explains the gap. Validate the home-dog angle on its own terms before any subset goes </w:t>
      </w:r>
      <w:proofErr w:type="gramStart"/>
      <w:r>
        <w:t>live, and</w:t>
      </w:r>
      <w:proofErr w:type="gramEnd"/>
      <w:r>
        <w:t xml:space="preserve"> apply the policy filter symmetrically so comparisons stay honest.</w:t>
      </w:r>
    </w:p>
    <w:p w14:paraId="0BF0FBB1" w14:textId="77777777" w:rsidR="00DA6205" w:rsidRDefault="00000000">
      <w:pPr>
        <w:pBdr>
          <w:top w:val="single" w:sz="4" w:space="6" w:color="B7B7B7"/>
        </w:pBdr>
        <w:spacing w:before="160"/>
      </w:pPr>
      <w:r>
        <w:rPr>
          <w:i/>
          <w:iCs/>
          <w:color w:val="1F3864"/>
          <w:sz w:val="19"/>
          <w:szCs w:val="19"/>
        </w:rPr>
        <w:t xml:space="preserve">One line: the June problem is probably a narrow price-band of dogs in a specific regime, not “June” and not “dogs” wholesale. Reduce dog stakes rather than killing them, keep </w:t>
      </w:r>
      <w:proofErr w:type="spellStart"/>
      <w:r>
        <w:rPr>
          <w:i/>
          <w:iCs/>
          <w:color w:val="1F3864"/>
          <w:sz w:val="19"/>
          <w:szCs w:val="19"/>
        </w:rPr>
        <w:t>faves</w:t>
      </w:r>
      <w:proofErr w:type="spellEnd"/>
      <w:r>
        <w:rPr>
          <w:i/>
          <w:iCs/>
          <w:color w:val="1F3864"/>
          <w:sz w:val="19"/>
          <w:szCs w:val="19"/>
        </w:rPr>
        <w:t>, hold capital, revert the just-added disagreement plays and run consensus-only as the spine, decompose by price band, and bring the full engine back in July.</w:t>
      </w:r>
    </w:p>
    <w:sectPr w:rsidR="00DA6205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78A5FC" w14:textId="77777777" w:rsidR="0001078C" w:rsidRDefault="0001078C">
      <w:r>
        <w:separator/>
      </w:r>
    </w:p>
  </w:endnote>
  <w:endnote w:type="continuationSeparator" w:id="0">
    <w:p w14:paraId="4B8798E8" w14:textId="77777777" w:rsidR="0001078C" w:rsidRDefault="000107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6BB135" w14:textId="77777777" w:rsidR="00DA6205" w:rsidRDefault="00000000">
    <w:pPr>
      <w:tabs>
        <w:tab w:val="right" w:pos="9360"/>
      </w:tabs>
    </w:pPr>
    <w:r>
      <w:rPr>
        <w:color w:val="808080"/>
        <w:sz w:val="16"/>
        <w:szCs w:val="16"/>
      </w:rPr>
      <w:t>MLB Scion — The June Problem (v4)</w:t>
    </w:r>
    <w:r>
      <w:rPr>
        <w:sz w:val="16"/>
        <w:szCs w:val="16"/>
      </w:rPr>
      <w:tab/>
    </w: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F124FF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of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NUMPAGES</w:instrText>
    </w:r>
    <w:r>
      <w:rPr>
        <w:color w:val="808080"/>
        <w:sz w:val="16"/>
        <w:szCs w:val="16"/>
      </w:rPr>
      <w:fldChar w:fldCharType="separate"/>
    </w:r>
    <w:r w:rsidR="00F124FF">
      <w:rPr>
        <w:noProof/>
        <w:color w:val="808080"/>
        <w:sz w:val="16"/>
        <w:szCs w:val="16"/>
      </w:rPr>
      <w:t>2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DB57D8" w14:textId="77777777" w:rsidR="0001078C" w:rsidRDefault="0001078C">
      <w:r>
        <w:separator/>
      </w:r>
    </w:p>
  </w:footnote>
  <w:footnote w:type="continuationSeparator" w:id="0">
    <w:p w14:paraId="3F4543FE" w14:textId="77777777" w:rsidR="0001078C" w:rsidRDefault="0001078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33F7F"/>
    <w:multiLevelType w:val="hybridMultilevel"/>
    <w:tmpl w:val="72AEF5A4"/>
    <w:lvl w:ilvl="0" w:tplc="446E99C0">
      <w:start w:val="1"/>
      <w:numFmt w:val="bullet"/>
      <w:lvlText w:val="●"/>
      <w:lvlJc w:val="left"/>
      <w:pPr>
        <w:ind w:left="720" w:hanging="360"/>
      </w:pPr>
    </w:lvl>
    <w:lvl w:ilvl="1" w:tplc="C3CAC800">
      <w:start w:val="1"/>
      <w:numFmt w:val="bullet"/>
      <w:lvlText w:val="○"/>
      <w:lvlJc w:val="left"/>
      <w:pPr>
        <w:ind w:left="1440" w:hanging="360"/>
      </w:pPr>
    </w:lvl>
    <w:lvl w:ilvl="2" w:tplc="46081878">
      <w:start w:val="1"/>
      <w:numFmt w:val="bullet"/>
      <w:lvlText w:val="■"/>
      <w:lvlJc w:val="left"/>
      <w:pPr>
        <w:ind w:left="2160" w:hanging="360"/>
      </w:pPr>
    </w:lvl>
    <w:lvl w:ilvl="3" w:tplc="2ADEF8BC">
      <w:start w:val="1"/>
      <w:numFmt w:val="bullet"/>
      <w:lvlText w:val="●"/>
      <w:lvlJc w:val="left"/>
      <w:pPr>
        <w:ind w:left="2880" w:hanging="360"/>
      </w:pPr>
    </w:lvl>
    <w:lvl w:ilvl="4" w:tplc="E4AE92AE">
      <w:start w:val="1"/>
      <w:numFmt w:val="bullet"/>
      <w:lvlText w:val="○"/>
      <w:lvlJc w:val="left"/>
      <w:pPr>
        <w:ind w:left="3600" w:hanging="360"/>
      </w:pPr>
    </w:lvl>
    <w:lvl w:ilvl="5" w:tplc="85BC07E0">
      <w:start w:val="1"/>
      <w:numFmt w:val="bullet"/>
      <w:lvlText w:val="■"/>
      <w:lvlJc w:val="left"/>
      <w:pPr>
        <w:ind w:left="4320" w:hanging="360"/>
      </w:pPr>
    </w:lvl>
    <w:lvl w:ilvl="6" w:tplc="96A6F596">
      <w:start w:val="1"/>
      <w:numFmt w:val="bullet"/>
      <w:lvlText w:val="●"/>
      <w:lvlJc w:val="left"/>
      <w:pPr>
        <w:ind w:left="5040" w:hanging="360"/>
      </w:pPr>
    </w:lvl>
    <w:lvl w:ilvl="7" w:tplc="42B4683A">
      <w:start w:val="1"/>
      <w:numFmt w:val="bullet"/>
      <w:lvlText w:val="●"/>
      <w:lvlJc w:val="left"/>
      <w:pPr>
        <w:ind w:left="5760" w:hanging="360"/>
      </w:pPr>
    </w:lvl>
    <w:lvl w:ilvl="8" w:tplc="EDAEBF7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09818C8"/>
    <w:multiLevelType w:val="hybridMultilevel"/>
    <w:tmpl w:val="D6E836D8"/>
    <w:lvl w:ilvl="0" w:tplc="8744C9BE">
      <w:start w:val="1"/>
      <w:numFmt w:val="bullet"/>
      <w:lvlText w:val="•"/>
      <w:lvlJc w:val="left"/>
      <w:pPr>
        <w:ind w:left="460" w:hanging="260"/>
      </w:pPr>
    </w:lvl>
    <w:lvl w:ilvl="1" w:tplc="1D2EBC74">
      <w:numFmt w:val="decimal"/>
      <w:lvlText w:val=""/>
      <w:lvlJc w:val="left"/>
    </w:lvl>
    <w:lvl w:ilvl="2" w:tplc="5EF2D4D0">
      <w:numFmt w:val="decimal"/>
      <w:lvlText w:val=""/>
      <w:lvlJc w:val="left"/>
    </w:lvl>
    <w:lvl w:ilvl="3" w:tplc="E78225B0">
      <w:numFmt w:val="decimal"/>
      <w:lvlText w:val=""/>
      <w:lvlJc w:val="left"/>
    </w:lvl>
    <w:lvl w:ilvl="4" w:tplc="5246AB3A">
      <w:numFmt w:val="decimal"/>
      <w:lvlText w:val=""/>
      <w:lvlJc w:val="left"/>
    </w:lvl>
    <w:lvl w:ilvl="5" w:tplc="793EA004">
      <w:numFmt w:val="decimal"/>
      <w:lvlText w:val=""/>
      <w:lvlJc w:val="left"/>
    </w:lvl>
    <w:lvl w:ilvl="6" w:tplc="60A61866">
      <w:numFmt w:val="decimal"/>
      <w:lvlText w:val=""/>
      <w:lvlJc w:val="left"/>
    </w:lvl>
    <w:lvl w:ilvl="7" w:tplc="8AC41B24">
      <w:numFmt w:val="decimal"/>
      <w:lvlText w:val=""/>
      <w:lvlJc w:val="left"/>
    </w:lvl>
    <w:lvl w:ilvl="8" w:tplc="7E84005E">
      <w:numFmt w:val="decimal"/>
      <w:lvlText w:val=""/>
      <w:lvlJc w:val="left"/>
    </w:lvl>
  </w:abstractNum>
  <w:num w:numId="1" w16cid:durableId="459736288">
    <w:abstractNumId w:val="0"/>
    <w:lvlOverride w:ilvl="0">
      <w:startOverride w:val="1"/>
    </w:lvlOverride>
  </w:num>
  <w:num w:numId="2" w16cid:durableId="59987892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6205"/>
    <w:rsid w:val="0001078C"/>
    <w:rsid w:val="008140ED"/>
    <w:rsid w:val="00824E1C"/>
    <w:rsid w:val="00DA6205"/>
    <w:rsid w:val="00F124FF"/>
    <w:rsid w:val="00FD3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526994"/>
  <w15:docId w15:val="{FDFFEA81-1133-7842-BE34-535493846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4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uiPriority w:val="9"/>
    <w:unhideWhenUsed/>
    <w:qFormat/>
    <w:pPr>
      <w:spacing w:before="180" w:after="100"/>
      <w:outlineLvl w:val="1"/>
    </w:pPr>
    <w:rPr>
      <w:b/>
      <w:bCs/>
      <w:color w:val="2E549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2870</Words>
  <Characters>14441</Characters>
  <Application>Microsoft Office Word</Application>
  <DocSecurity>0</DocSecurity>
  <Lines>352</Lines>
  <Paragraphs>266</Paragraphs>
  <ScaleCrop>false</ScaleCrop>
  <Company/>
  <LinksUpToDate>false</LinksUpToDate>
  <CharactersWithSpaces>17045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Perceptronix</dc:creator>
  <cp:lastModifiedBy>Jon Tepper</cp:lastModifiedBy>
  <cp:revision>3</cp:revision>
  <cp:lastPrinted>2026-06-23T18:04:00Z</cp:lastPrinted>
  <dcterms:created xsi:type="dcterms:W3CDTF">2026-06-23T18:04:00Z</dcterms:created>
  <dcterms:modified xsi:type="dcterms:W3CDTF">2026-06-23T18:04:00Z</dcterms:modified>
</cp:coreProperties>
</file>