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MLB Scion — Ensemble Integration</w:t>
      </w:r>
    </w:p>
    <w:p>
      <w:pPr>
        <w:pBdr>
          <w:bottom w:val="single" w:color="2E75B6" w:sz="10" w:space="2"/>
        </w:pBdr>
        <w:spacing w:after="60"/>
      </w:pPr>
      <w:r>
        <w:rPr>
          <w:rFonts w:ascii="Arial" w:cs="Arial" w:eastAsia="Arial" w:hAnsi="Arial"/>
          <w:color w:val="2E75B6"/>
          <w:sz w:val="26"/>
          <w:szCs w:val="26"/>
        </w:rPr>
        <w:t xml:space="preserve">Evaluation Summary &amp; Implementation Decision</w:t>
      </w:r>
    </w:p>
    <w:p>
      <w:pPr>
        <w:spacing w:after="80" w:before="40" w:line="276"/>
      </w:pPr>
      <w:r>
        <w:rPr>
          <w:rFonts w:ascii="Arial" w:cs="Arial" w:eastAsia="Arial" w:hAnsi="Arial"/>
          <w:b/>
          <w:bCs/>
        </w:rPr>
        <w:t xml:space="preserve">Models: </w:t>
      </w:r>
      <w:r>
        <w:rPr>
          <w:rFonts w:ascii="Arial" w:cs="Arial" w:eastAsia="Arial" w:hAnsi="Arial"/>
        </w:rPr>
        <w:t xml:space="preserve">V119 (bookie line + stats, 15-model ensemble) and V123 (stats only, 41-model ensemble).  </w:t>
      </w:r>
      <w:r>
        <w:rPr>
          <w:rFonts w:ascii="Arial" w:cs="Arial" w:eastAsia="Arial" w:hAnsi="Arial"/>
          <w:b/>
          <w:bCs/>
        </w:rPr>
        <w:t xml:space="preserve">Test set: </w:t>
      </w:r>
      <w:r>
        <w:rPr>
          <w:rFonts w:ascii="Arial" w:cs="Arial" w:eastAsia="Arial" w:hAnsi="Arial"/>
        </w:rPr>
        <w:t xml:space="preserve">unseen MLB outsample, 05 Jun 2025 – 05 Jun 2026 (1,770 games).  </w:t>
      </w:r>
      <w:r>
        <w:rPr>
          <w:rFonts w:ascii="Arial" w:cs="Arial" w:eastAsia="Arial" w:hAnsi="Arial"/>
          <w:b/>
          <w:bCs/>
        </w:rPr>
        <w:t xml:space="preserve">Staking: </w:t>
      </w:r>
      <w:r>
        <w:rPr>
          <w:rFonts w:ascii="Arial" w:cs="Arial" w:eastAsia="Arial" w:hAnsi="Arial"/>
        </w:rPr>
        <w:t xml:space="preserve">flat 1 unit per play (signal quality, before any Kelly/tiering).</w:t>
      </w:r>
    </w:p>
    <w:p>
      <w:pPr>
        <w:pStyle w:val="Heading1"/>
        <w:spacing w:after="120" w:before="240"/>
      </w:pPr>
      <w:r>
        <w:rPr>
          <w:rFonts w:ascii="Arial" w:cs="Arial" w:eastAsia="Arial" w:hAnsi="Arial"/>
          <w:color w:val="1F3864"/>
        </w:rPr>
        <w:t xml:space="preserve">1.  Headline decision</w:t>
      </w:r>
    </w:p>
    <w:p>
      <w:pPr>
        <w:spacing w:after="120" w:before="40" w:line="276"/>
      </w:pPr>
      <w:r>
        <w:rPr>
          <w:rFonts w:ascii="Arial" w:cs="Arial" w:eastAsia="Arial" w:hAnsi="Arial"/>
          <w:b/>
          <w:bCs/>
        </w:rPr>
        <w:t xml:space="preserve">Implement </w:t>
      </w:r>
      <w:r>
        <w:rPr>
          <w:rFonts w:ascii="Arial" w:cs="Arial" w:eastAsia="Arial" w:hAnsi="Arial"/>
          <w:b/>
          <w:bCs/>
          <w:color w:val="1F3864"/>
        </w:rPr>
        <w:t xml:space="preserve">Setup 4 — Consensus only</w:t>
      </w:r>
      <w:r>
        <w:rPr>
          <w:rFonts w:ascii="Arial" w:cs="Arial" w:eastAsia="Arial" w:hAnsi="Arial"/>
          <w:b/>
          <w:bCs/>
        </w:rPr>
        <w:t xml:space="preserve">: place a bet only when V119 and V123 independently produce a qualifying play on the </w:t>
      </w:r>
      <w:r>
        <w:rPr>
          <w:rFonts w:ascii="Arial" w:cs="Arial" w:eastAsia="Arial" w:hAnsi="Arial"/>
          <w:b/>
          <w:bCs/>
          <w:i/>
          <w:iCs/>
        </w:rPr>
        <w:t xml:space="preserve">same side</w:t>
      </w:r>
      <w:r>
        <w:rPr>
          <w:rFonts w:ascii="Arial" w:cs="Arial" w:eastAsia="Arial" w:hAnsi="Arial"/>
          <w:b/>
          <w:bCs/>
        </w:rPr>
        <w:t xml:space="preserve">. This strategy is the strongest on every risk-adjusted measure and, critically, holds up in the 2026 deployment regime where the old program failed.</w:t>
      </w:r>
    </w:p>
    <w:p>
      <w:pPr>
        <w:spacing w:after="120" w:before="40" w:line="276"/>
      </w:pPr>
      <w:r>
        <w:rPr>
          <w:rFonts w:ascii="Arial" w:cs="Arial" w:eastAsia="Arial" w:hAnsi="Arial"/>
        </w:rPr>
        <w:t xml:space="preserve">It returns </w:t>
      </w:r>
      <w:r>
        <w:rPr>
          <w:rFonts w:ascii="Arial" w:cs="Arial" w:eastAsia="Arial" w:hAnsi="Arial"/>
          <w:b/>
          <w:bCs/>
        </w:rPr>
        <w:t xml:space="preserve">19.3% ROI</w:t>
      </w:r>
      <w:r>
        <w:rPr>
          <w:rFonts w:ascii="Arial" w:cs="Arial" w:eastAsia="Arial" w:hAnsi="Arial"/>
        </w:rPr>
        <w:t xml:space="preserve"> over the full outsample (Sharpe 2.76 outsample / 0.20 per-bet, the best of any strategy tested) and </w:t>
      </w:r>
      <w:r>
        <w:rPr>
          <w:rFonts w:ascii="Arial" w:cs="Arial" w:eastAsia="Arial" w:hAnsi="Arial"/>
          <w:b/>
          <w:bCs/>
        </w:rPr>
        <w:t xml:space="preserve">12.0% ROI in 2026 alone</w:t>
      </w:r>
      <w:r>
        <w:rPr>
          <w:rFonts w:ascii="Arial" w:cs="Arial" w:eastAsia="Arial" w:hAnsi="Arial"/>
        </w:rPr>
        <w:t xml:space="preserve">. Consensus occurs in </w:t>
      </w:r>
      <w:r>
        <w:rPr>
          <w:rFonts w:ascii="Arial" w:cs="Arial" w:eastAsia="Arial" w:hAnsi="Arial"/>
          <w:b/>
          <w:bCs/>
        </w:rPr>
        <w:t xml:space="preserve">192 of 1,770 games = 10.8%</w:t>
      </w:r>
      <w:r>
        <w:rPr>
          <w:rFonts w:ascii="Arial" w:cs="Arial" w:eastAsia="Arial" w:hAnsi="Arial"/>
        </w:rPr>
        <w:t xml:space="preserve"> of the card.</w:t>
      </w:r>
    </w:p>
    <w:p>
      <w:pPr>
        <w:pStyle w:val="Heading1"/>
        <w:spacing w:after="120" w:before="240"/>
      </w:pPr>
      <w:r>
        <w:rPr>
          <w:rFonts w:ascii="Arial" w:cs="Arial" w:eastAsia="Arial" w:hAnsi="Arial"/>
          <w:color w:val="1F3864"/>
        </w:rPr>
        <w:t xml:space="preserve">2.  All strategies — full outsample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980"/>
        <w:gridCol w:w="1060"/>
        <w:gridCol w:w="1060"/>
        <w:gridCol w:w="1100"/>
        <w:gridCol w:w="1300"/>
        <w:gridCol w:w="1500"/>
      </w:tblGrid>
      <w:tr>
        <w:trPr>
          <w:tblHeader/>
        </w:trPr>
        <w:tc>
          <w:tcPr>
            <w:tcW w:type="dxa" w:w="2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Strategy</w:t>
            </w:r>
          </w:p>
        </w:tc>
        <w:tc>
          <w:tcPr>
            <w:tcW w:type="dxa" w:w="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Plays</w:t>
            </w:r>
          </w:p>
        </w:tc>
        <w:tc>
          <w:tcPr>
            <w:tcW w:type="dxa" w:w="1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 games</w:t>
            </w:r>
          </w:p>
        </w:tc>
        <w:tc>
          <w:tcPr>
            <w:tcW w:type="dxa" w:w="1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Win %</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Units (profit)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Sharpe (per-bet)</w:t>
            </w:r>
          </w:p>
        </w:tc>
      </w:tr>
      <w:tr>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V119 alone (line + stats)</w:t>
            </w:r>
          </w:p>
        </w:tc>
        <w:tc>
          <w:tcPr>
            <w:tcW w:type="dxa" w:w="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357</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20.2%</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57.1%</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10.3%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36.95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0.11</w:t>
            </w:r>
          </w:p>
        </w:tc>
      </w:tr>
      <w:tr>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V123 alone (stats only)</w:t>
            </w:r>
          </w:p>
        </w:tc>
        <w:tc>
          <w:tcPr>
            <w:tcW w:type="dxa" w:w="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526</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29.7%</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54.2%</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9.5%</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49.95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0.09</w:t>
            </w:r>
          </w:p>
        </w:tc>
      </w:tr>
      <w:tr>
        <w:tc>
          <w:tcPr>
            <w:tcW w:type="dxa" w:w="23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1 — Union (play any)</w:t>
            </w:r>
          </w:p>
        </w:tc>
        <w:tc>
          <w:tcPr>
            <w:tcW w:type="dxa" w:w="9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572</w:t>
            </w:r>
          </w:p>
        </w:tc>
        <w:tc>
          <w:tcPr>
            <w:tcW w:type="dxa" w:w="1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32.3%</w:t>
            </w:r>
          </w:p>
        </w:tc>
        <w:tc>
          <w:tcPr>
            <w:tcW w:type="dxa" w:w="1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53.8%</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6.7%</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38.49</w:t>
            </w:r>
          </w:p>
        </w:tc>
        <w:tc>
          <w:tcPr>
            <w:tcW w:type="dxa" w:w="15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0.07</w:t>
            </w:r>
          </w:p>
        </w:tc>
      </w:tr>
      <w:tr>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2 — Consensus + V119-only</w:t>
            </w:r>
          </w:p>
        </w:tc>
        <w:tc>
          <w:tcPr>
            <w:tcW w:type="dxa" w:w="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320</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18.1%</w:t>
            </w:r>
          </w:p>
        </w:tc>
        <w:tc>
          <w:tcPr>
            <w:tcW w:type="dxa" w:w="1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58.8%</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13.3%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42.60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0.14</w:t>
            </w:r>
          </w:p>
        </w:tc>
      </w:tr>
      <w:tr>
        <w:tc>
          <w:tcPr>
            <w:tcW w:type="dxa" w:w="23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3 — Consensus + V123-only</w:t>
            </w:r>
          </w:p>
        </w:tc>
        <w:tc>
          <w:tcPr>
            <w:tcW w:type="dxa" w:w="9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444</w:t>
            </w:r>
          </w:p>
        </w:tc>
        <w:tc>
          <w:tcPr>
            <w:tcW w:type="dxa" w:w="1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25.1%</w:t>
            </w:r>
          </w:p>
        </w:tc>
        <w:tc>
          <w:tcPr>
            <w:tcW w:type="dxa" w:w="1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53.2%</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7.4%</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33.00</w:t>
            </w:r>
          </w:p>
        </w:tc>
        <w:tc>
          <w:tcPr>
            <w:tcW w:type="dxa" w:w="15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0.07</w:t>
            </w:r>
          </w:p>
        </w:tc>
      </w:tr>
      <w:tr>
        <w:tc>
          <w:tcPr>
            <w:tcW w:type="dxa" w:w="236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left"/>
            </w:pPr>
            <w:r>
              <w:rPr>
                <w:rFonts w:ascii="Arial" w:cs="Arial" w:eastAsia="Arial" w:hAnsi="Arial"/>
                <w:b/>
                <w:bCs/>
                <w:sz w:val="18"/>
                <w:szCs w:val="18"/>
              </w:rPr>
              <w:t xml:space="preserve">Setup 4 — Consensus only</w:t>
            </w:r>
          </w:p>
        </w:tc>
        <w:tc>
          <w:tcPr>
            <w:tcW w:type="dxa" w:w="98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192</w:t>
            </w:r>
          </w:p>
        </w:tc>
        <w:tc>
          <w:tcPr>
            <w:tcW w:type="dxa" w:w="106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10.8%</w:t>
            </w:r>
          </w:p>
        </w:tc>
        <w:tc>
          <w:tcPr>
            <w:tcW w:type="dxa" w:w="106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60.4%</w:t>
            </w:r>
          </w:p>
        </w:tc>
        <w:tc>
          <w:tcPr>
            <w:tcW w:type="dxa" w:w="11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19.3%</w:t>
            </w:r>
          </w:p>
        </w:tc>
        <w:tc>
          <w:tcPr>
            <w:tcW w:type="dxa" w:w="13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37.11</w:t>
            </w:r>
          </w:p>
        </w:tc>
        <w:tc>
          <w:tcPr>
            <w:tcW w:type="dxa" w:w="15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0.20</w:t>
            </w:r>
          </w:p>
        </w:tc>
      </w:tr>
    </w:tbl>
    <w:p>
      <w:pPr>
        <w:spacing w:after="120" w:before="100" w:line="276"/>
      </w:pPr>
      <w:r>
        <w:rPr>
          <w:rFonts w:ascii="Arial" w:cs="Arial" w:eastAsia="Arial" w:hAnsi="Arial"/>
          <w:b/>
          <w:bCs/>
        </w:rPr>
        <w:t xml:space="preserve">Read: </w:t>
      </w:r>
      <w:r>
        <w:rPr>
          <w:rFonts w:ascii="Arial" w:cs="Arial" w:eastAsia="Arial" w:hAnsi="Arial"/>
        </w:rPr>
        <w:t xml:space="preserve">playing </w:t>
      </w:r>
      <w:r>
        <w:rPr>
          <w:rFonts w:ascii="Arial" w:cs="Arial" w:eastAsia="Arial" w:hAnsi="Arial"/>
          <w:i/>
          <w:iCs/>
        </w:rPr>
        <w:t xml:space="preserve">everything</w:t>
      </w:r>
      <w:r>
        <w:rPr>
          <w:rFonts w:ascii="Arial" w:cs="Arial" w:eastAsia="Arial" w:hAnsi="Arial"/>
        </w:rPr>
        <w:t xml:space="preserve"> (Setup 1, union) is the </w:t>
      </w:r>
      <w:r>
        <w:rPr>
          <w:rFonts w:ascii="Arial" w:cs="Arial" w:eastAsia="Arial" w:hAnsi="Arial"/>
          <w:b/>
          <w:bCs/>
        </w:rPr>
        <w:t xml:space="preserve">worst</w:t>
      </w:r>
      <w:r>
        <w:rPr>
          <w:rFonts w:ascii="Arial" w:cs="Arial" w:eastAsia="Arial" w:hAnsi="Arial"/>
        </w:rPr>
        <w:t xml:space="preserve"> outcome (6.7%). Selectivity, not volume, is the edge — and the most selective strategy (consensus only) is the best.</w:t>
      </w:r>
    </w:p>
    <w:p>
      <w:pPr>
        <w:pStyle w:val="Heading1"/>
        <w:spacing w:after="120" w:before="240"/>
      </w:pPr>
      <w:r>
        <w:rPr>
          <w:rFonts w:ascii="Arial" w:cs="Arial" w:eastAsia="Arial" w:hAnsi="Arial"/>
          <w:color w:val="1F3864"/>
        </w:rPr>
        <w:t xml:space="preserve">3.  Integration strategies — 2026 only (deployment regime)</w:t>
      </w:r>
    </w:p>
    <w:p>
      <w:pPr>
        <w:spacing w:after="120" w:before="40" w:line="276"/>
      </w:pPr>
      <w:r>
        <w:rPr>
          <w:rFonts w:ascii="Arial" w:cs="Arial" w:eastAsia="Arial" w:hAnsi="Arial"/>
        </w:rPr>
        <w:t xml:space="preserve">June 2026 destroyed the live (old) program on both sides. The same period is the fairest test of the new system, because it is the regime we are about to deploy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300"/>
        <w:gridCol w:w="1300"/>
        <w:gridCol w:w="1300"/>
        <w:gridCol w:w="1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Strategy (2026 only)</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Plays</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 season</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Win %</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Units</w:t>
            </w:r>
          </w:p>
        </w:tc>
      </w:tr>
      <w:tr>
        <w:tc>
          <w:tcPr>
            <w:tcW w:type="dxa" w:w="3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1 — Union</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249</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34.6%</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51.8%</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0.9%</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2.18</w:t>
            </w:r>
          </w:p>
        </w:tc>
      </w:tr>
      <w:tr>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2 — Consensus + V119-only</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139</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19.3%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57.6%</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8.9%</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12.40</w:t>
            </w:r>
          </w:p>
        </w:tc>
      </w:tr>
      <w:tr>
        <w:tc>
          <w:tcPr>
            <w:tcW w:type="dxa" w:w="30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Setup 3 — Consensus + V123-only</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192</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26.7%</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50.0%</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-0.2%</w:t>
            </w:r>
          </w:p>
        </w:tc>
        <w:tc>
          <w:tcPr>
            <w:tcW w:type="dxa" w:w="13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-0.39</w:t>
            </w:r>
          </w:p>
        </w:tc>
      </w:tr>
      <w:tr>
        <w:tc>
          <w:tcPr>
            <w:tcW w:type="dxa" w:w="306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left"/>
            </w:pPr>
            <w:r>
              <w:rPr>
                <w:rFonts w:ascii="Arial" w:cs="Arial" w:eastAsia="Arial" w:hAnsi="Arial"/>
                <w:b/>
                <w:bCs/>
                <w:sz w:val="18"/>
                <w:szCs w:val="18"/>
              </w:rPr>
              <w:t xml:space="preserve">Setup 4 — Consensus only</w:t>
            </w:r>
          </w:p>
        </w:tc>
        <w:tc>
          <w:tcPr>
            <w:tcW w:type="dxa" w:w="11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82</w:t>
            </w:r>
          </w:p>
        </w:tc>
        <w:tc>
          <w:tcPr>
            <w:tcW w:type="dxa" w:w="13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11.4%</w:t>
            </w:r>
          </w:p>
        </w:tc>
        <w:tc>
          <w:tcPr>
            <w:tcW w:type="dxa" w:w="13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57.3%</w:t>
            </w:r>
          </w:p>
        </w:tc>
        <w:tc>
          <w:tcPr>
            <w:tcW w:type="dxa" w:w="13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12.0%</w:t>
            </w:r>
          </w:p>
        </w:tc>
        <w:tc>
          <w:tcPr>
            <w:tcW w:type="dxa" w:w="1300"/>
            <w:tcBorders>
              <w:top w:val="single" w:color="BFBFBF" w:sz="1"/>
              <w:left w:val="single" w:color="BFBFBF" w:sz="1"/>
              <w:bottom w:val="single" w:color="BFBFBF" w:sz="1"/>
              <w:right w:val="single" w:color="BFBFBF" w:sz="1"/>
            </w:tcBorders>
            <w:shd w:fill="FCE8B2"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9.83</w:t>
            </w:r>
          </w:p>
        </w:tc>
      </w:tr>
    </w:tbl>
    <w:p>
      <w:pPr>
        <w:spacing w:after="120" w:before="100" w:line="276"/>
      </w:pPr>
      <w:r>
        <w:rPr>
          <w:rFonts w:ascii="Arial" w:cs="Arial" w:eastAsia="Arial" w:hAnsi="Arial"/>
        </w:rPr>
        <w:t xml:space="preserve">Only the consensus-based strategies survive 2026. The union collapses to 0.9% and Setup 3 turns negative. </w:t>
      </w:r>
      <w:r>
        <w:rPr>
          <w:rFonts w:ascii="Arial" w:cs="Arial" w:eastAsia="Arial" w:hAnsi="Arial"/>
          <w:b/>
          <w:bCs/>
        </w:rPr>
        <w:t xml:space="preserve">Consensus only (Setup 4) is the most robust at 12.0%.</w:t>
      </w:r>
    </w:p>
    <w:p>
      <w:pPr>
        <w:pStyle w:val="Heading1"/>
        <w:spacing w:after="120" w:before="240"/>
      </w:pPr>
      <w:r>
        <w:rPr>
          <w:rFonts w:ascii="Arial" w:cs="Arial" w:eastAsia="Arial" w:hAnsi="Arial"/>
          <w:color w:val="1F3864"/>
        </w:rPr>
        <w:t xml:space="preserve">4.  Information content — what each ensemble contributes</w:t>
      </w:r>
    </w:p>
    <w:p>
      <w:pPr>
        <w:spacing w:after="120" w:before="40" w:line="276"/>
      </w:pPr>
      <w:r>
        <w:rPr>
          <w:rFonts w:ascii="Arial" w:cs="Arial" w:eastAsia="Arial" w:hAnsi="Arial"/>
        </w:rPr>
        <w:t xml:space="preserve">Every integration strategy is built from three disjoint buckets. Isolating them shows exactly where the edge lives (figures reconcile exactly to the union: 192 + 128 + 252 = 572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980"/>
        <w:gridCol w:w="1080"/>
        <w:gridCol w:w="1380"/>
        <w:gridCol w:w="1380"/>
        <w:gridCol w:w="1380"/>
      </w:tblGrid>
      <w:tr>
        <w:trPr>
          <w:tblHeader/>
        </w:trPr>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Information bucket</w:t>
            </w:r>
          </w:p>
        </w:tc>
        <w:tc>
          <w:tcPr>
            <w:tcW w:type="dxa" w:w="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Plays</w:t>
            </w:r>
          </w:p>
        </w:tc>
        <w:tc>
          <w:tcPr>
            <w:tcW w:type="dxa" w:w="10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Win %</w:t>
            </w:r>
          </w:p>
        </w:tc>
        <w:tc>
          <w:tcPr>
            <w:tcW w:type="dxa" w:w="1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 (full)</w:t>
            </w:r>
          </w:p>
        </w:tc>
        <w:tc>
          <w:tcPr>
            <w:tcW w:type="dxa" w:w="1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 (2026)</w:t>
            </w:r>
          </w:p>
        </w:tc>
        <w:tc>
          <w:tcPr>
            <w:tcW w:type="dxa" w:w="1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Units (full)</w:t>
            </w:r>
          </w:p>
        </w:tc>
      </w:tr>
      <w:tr>
        <w:tc>
          <w:tcPr>
            <w:tcW w:type="dxa" w:w="31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left"/>
            </w:pPr>
            <w:r>
              <w:rPr>
                <w:rFonts w:ascii="Arial" w:cs="Arial" w:eastAsia="Arial" w:hAnsi="Arial"/>
                <w:b/>
                <w:bCs/>
                <w:sz w:val="18"/>
                <w:szCs w:val="18"/>
              </w:rPr>
              <w:t xml:space="preserve">(i) V119 &amp; V123 AGREE (consensus)</w:t>
            </w:r>
          </w:p>
        </w:tc>
        <w:tc>
          <w:tcPr>
            <w:tcW w:type="dxa" w:w="9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192</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60.4%</w:t>
            </w:r>
          </w:p>
        </w:tc>
        <w:tc>
          <w:tcPr>
            <w:tcW w:type="dxa" w:w="13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+19.3%</w:t>
            </w:r>
          </w:p>
        </w:tc>
        <w:tc>
          <w:tcPr>
            <w:tcW w:type="dxa" w:w="13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+12.0%</w:t>
            </w:r>
          </w:p>
        </w:tc>
        <w:tc>
          <w:tcPr>
            <w:tcW w:type="dxa" w:w="13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sz w:val="18"/>
                <w:szCs w:val="18"/>
              </w:rPr>
              <w:t xml:space="preserve">+37.11</w:t>
            </w:r>
          </w:p>
        </w:tc>
      </w:tr>
      <w:t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(ii) V119 plays, V123 silent</w:t>
            </w:r>
          </w:p>
        </w:tc>
        <w:tc>
          <w:tcPr>
            <w:tcW w:type="dxa" w:w="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128</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56.3%</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+4.3%</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+4.5%</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+5.49</w:t>
            </w:r>
          </w:p>
        </w:tc>
      </w:tr>
      <w:tr>
        <w:tc>
          <w:tcPr>
            <w:tcW w:type="dxa" w:w="316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left"/>
            </w:pPr>
            <w:r>
              <w:rPr>
                <w:rFonts w:ascii="Arial" w:cs="Arial" w:eastAsia="Arial" w:hAnsi="Arial"/>
                <w:b w:val="false"/>
                <w:bCs w:val="false"/>
                <w:sz w:val="18"/>
                <w:szCs w:val="18"/>
              </w:rPr>
              <w:t xml:space="preserve">(iii) V119 silent, V123 plays</w:t>
            </w:r>
          </w:p>
        </w:tc>
        <w:tc>
          <w:tcPr>
            <w:tcW w:type="dxa" w:w="9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252</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47.6%</w:t>
            </w:r>
          </w:p>
        </w:tc>
        <w:tc>
          <w:tcPr>
            <w:tcW w:type="dxa" w:w="13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-1.6%</w:t>
            </w:r>
          </w:p>
        </w:tc>
        <w:tc>
          <w:tcPr>
            <w:tcW w:type="dxa" w:w="13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-9.3%</w:t>
            </w:r>
          </w:p>
        </w:tc>
        <w:tc>
          <w:tcPr>
            <w:tcW w:type="dxa" w:w="13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-4.11</w:t>
            </w:r>
          </w:p>
        </w:tc>
      </w:tr>
    </w:tbl>
    <w:p>
      <w:pPr>
        <w:pStyle w:val="Heading2"/>
        <w:spacing w:after="80" w:before="200"/>
      </w:pPr>
      <w:r>
        <w:rPr>
          <w:rFonts w:ascii="Arial" w:cs="Arial" w:eastAsia="Arial" w:hAnsi="Arial"/>
          <w:color w:val="1F3864"/>
        </w:rPr>
        <w:t xml:space="preserve">What this tells us</w:t>
      </w:r>
    </w:p>
    <w:p>
      <w:pPr>
        <w:pStyle w:val="ListParagraph"/>
        <w:numPr>
          <w:ilvl w:val="0"/>
          <w:numId w:val="2"/>
        </w:numPr>
        <w:spacing w:after="120" w:before="40" w:line="276"/>
      </w:pPr>
      <w:r>
        <w:rPr>
          <w:rFonts w:ascii="Arial" w:cs="Arial" w:eastAsia="Arial" w:hAnsi="Arial"/>
          <w:b/>
          <w:bCs/>
        </w:rPr>
        <w:t xml:space="preserve">V119 (line + stats) carries genuine standalone information.</w:t>
      </w:r>
      <w:r>
        <w:rPr>
          <w:rFonts w:ascii="Arial" w:cs="Arial" w:eastAsia="Arial" w:hAnsi="Arial"/>
        </w:rPr>
        <w:t xml:space="preserve"> Even when V123 stays silent, V119’s solo plays are mildly profitable (+4.3% full, +4.5% in 2026). The market line plus stats gives it a real, if modest, independent edge.</w:t>
      </w:r>
    </w:p>
    <w:p>
      <w:pPr>
        <w:pStyle w:val="ListParagraph"/>
        <w:numPr>
          <w:ilvl w:val="0"/>
          <w:numId w:val="2"/>
        </w:numPr>
        <w:spacing w:after="120" w:before="40" w:line="276"/>
      </w:pPr>
      <w:r>
        <w:rPr>
          <w:rFonts w:ascii="Arial" w:cs="Arial" w:eastAsia="Arial" w:hAnsi="Arial"/>
          <w:b/>
          <w:bCs/>
        </w:rPr>
        <w:t xml:space="preserve">V123 (stats only) carries no durable standalone edge.</w:t>
      </w:r>
      <w:r>
        <w:rPr>
          <w:rFonts w:ascii="Arial" w:cs="Arial" w:eastAsia="Arial" w:hAnsi="Arial"/>
        </w:rPr>
        <w:t xml:space="preserve"> When V119 stays silent, V123’s solo plays lose money — and badly so in 2026 (−1.6% full, −9.3% in 2026). On its own, the stats-only model finds “value” that the market correctly prices away.</w:t>
      </w:r>
    </w:p>
    <w:p>
      <w:pPr>
        <w:pStyle w:val="ListParagraph"/>
        <w:numPr>
          <w:ilvl w:val="0"/>
          <w:numId w:val="2"/>
        </w:numPr>
        <w:spacing w:after="120" w:before="40" w:line="276"/>
      </w:pPr>
      <w:r>
        <w:rPr>
          <w:rFonts w:ascii="Arial" w:cs="Arial" w:eastAsia="Arial" w:hAnsi="Arial"/>
          <w:b/>
          <w:bCs/>
        </w:rPr>
        <w:t xml:space="preserve">Their agreement roughly doubles the edge.</w:t>
      </w:r>
      <w:r>
        <w:rPr>
          <w:rFonts w:ascii="Arial" w:cs="Arial" w:eastAsia="Arial" w:hAnsi="Arial"/>
        </w:rPr>
        <w:t xml:space="preserve"> Where both independently back the same side, ROI jumps from ~10% (either alone) to 19.3%, at a 60.4% win rate. This is the single most valuable signal in the system.</w:t>
      </w:r>
    </w:p>
    <w:p>
      <w:pPr>
        <w:pStyle w:val="ListParagraph"/>
        <w:numPr>
          <w:ilvl w:val="0"/>
          <w:numId w:val="2"/>
        </w:numPr>
        <w:spacing w:after="120" w:before="40" w:line="276"/>
      </w:pPr>
      <w:r>
        <w:rPr>
          <w:rFonts w:ascii="Arial" w:cs="Arial" w:eastAsia="Arial" w:hAnsi="Arial"/>
          <w:b/>
          <w:bCs/>
        </w:rPr>
        <w:t xml:space="preserve">Therefore V123’s role is confirmation, not solo prediction.</w:t>
      </w:r>
      <w:r>
        <w:rPr>
          <w:rFonts w:ascii="Arial" w:cs="Arial" w:eastAsia="Arial" w:hAnsi="Arial"/>
        </w:rPr>
        <w:t xml:space="preserve"> Its information is valuable precisely because it is reached by a different route (market-blind): when a market-aware model and a market-blind model converge, that convergence is high-conviction evidence neither can identify alone. V123 tells us </w:t>
      </w:r>
      <w:r>
        <w:rPr>
          <w:rFonts w:ascii="Arial" w:cs="Arial" w:eastAsia="Arial" w:hAnsi="Arial"/>
          <w:i/>
          <w:iCs/>
        </w:rPr>
        <w:t xml:space="preserve">which</w:t>
      </w:r>
      <w:r>
        <w:rPr>
          <w:rFonts w:ascii="Arial" w:cs="Arial" w:eastAsia="Arial" w:hAnsi="Arial"/>
        </w:rPr>
        <w:t xml:space="preserve"> of V119’s plays are the gold ones.</w:t>
      </w:r>
    </w:p>
    <w:p>
      <w:pPr>
        <w:pStyle w:val="Heading1"/>
        <w:spacing w:after="120" w:before="240"/>
      </w:pPr>
      <w:r>
        <w:rPr>
          <w:rFonts w:ascii="Arial" w:cs="Arial" w:eastAsia="Arial" w:hAnsi="Arial"/>
          <w:color w:val="1F3864"/>
        </w:rPr>
        <w:t xml:space="preserve">5.  Why consensus is the edge</w:t>
      </w:r>
    </w:p>
    <w:p>
      <w:pPr>
        <w:spacing w:after="120" w:before="40" w:line="276"/>
      </w:pPr>
      <w:r>
        <w:rPr>
          <w:rFonts w:ascii="Arial" w:cs="Arial" w:eastAsia="Arial" w:hAnsi="Arial"/>
        </w:rPr>
        <w:t xml:space="preserve">V119 and V123 reach their conclusions from </w:t>
      </w:r>
      <w:r>
        <w:rPr>
          <w:rFonts w:ascii="Arial" w:cs="Arial" w:eastAsia="Arial" w:hAnsi="Arial"/>
          <w:b/>
          <w:bCs/>
        </w:rPr>
        <w:t xml:space="preserve">different information sets</w:t>
      </w:r>
      <w:r>
        <w:rPr>
          <w:rFonts w:ascii="Arial" w:cs="Arial" w:eastAsia="Arial" w:hAnsi="Arial"/>
        </w:rPr>
        <w:t xml:space="preserve"> — one uses the bookie line, one does not. When two decorrelated views agree, the signal is far stronger than either source alone. This is ensemble logic at the meta level: not many correlated trees, but two genuinely different modelling philosophies converging.</w:t>
      </w:r>
    </w:p>
    <w:p>
      <w:pPr>
        <w:spacing w:after="120" w:before="40" w:line="276"/>
      </w:pPr>
      <w:r>
        <w:rPr>
          <w:rFonts w:ascii="Arial" w:cs="Arial" w:eastAsia="Arial" w:hAnsi="Arial"/>
        </w:rPr>
        <w:t xml:space="preserve">The corollary is that </w:t>
      </w:r>
      <w:r>
        <w:rPr>
          <w:rFonts w:ascii="Arial" w:cs="Arial" w:eastAsia="Arial" w:hAnsi="Arial"/>
          <w:b/>
          <w:bCs/>
        </w:rPr>
        <w:t xml:space="preserve">more plays is not better</w:t>
      </w:r>
      <w:r>
        <w:rPr>
          <w:rFonts w:ascii="Arial" w:cs="Arial" w:eastAsia="Arial" w:hAnsi="Arial"/>
        </w:rPr>
        <w:t xml:space="preserve">. Adding V123’s solo plays (Setup 1 / Setup 3) dilutes the edge with loss-making bets; adding V119’s solo plays (Setup 2) is only mildly additive and dilutes the headline ROI. The clean, highest-conviction strategy keeps the agreement core and nothing else.</w:t>
      </w:r>
    </w:p>
    <w:p>
      <w:pPr>
        <w:pStyle w:val="Heading1"/>
        <w:spacing w:after="120" w:before="240"/>
      </w:pPr>
      <w:r>
        <w:rPr>
          <w:rFonts w:ascii="Arial" w:cs="Arial" w:eastAsia="Arial" w:hAnsi="Arial"/>
          <w:color w:val="1F3864"/>
        </w:rPr>
        <w:t xml:space="preserve">6.  Deployment guidance — dogs vs favourites</w:t>
      </w:r>
    </w:p>
    <w:p>
      <w:pPr>
        <w:spacing w:after="120" w:before="40" w:line="276"/>
      </w:pPr>
      <w:r>
        <w:rPr>
          <w:rFonts w:ascii="Arial" w:cs="Arial" w:eastAsia="Arial" w:hAnsi="Arial"/>
        </w:rPr>
        <w:t xml:space="preserve">Within the consensus strategy, the edge is </w:t>
      </w:r>
      <w:r>
        <w:rPr>
          <w:rFonts w:ascii="Arial" w:cs="Arial" w:eastAsia="Arial" w:hAnsi="Arial"/>
          <w:b/>
          <w:bCs/>
        </w:rPr>
        <w:t xml:space="preserve">not symmetric across sides</w:t>
      </w:r>
      <w:r>
        <w:rPr>
          <w:rFonts w:ascii="Arial" w:cs="Arial" w:eastAsia="Arial" w:hAnsi="Arial"/>
        </w:rPr>
        <w:t xml:space="preserve"> once we look at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400"/>
        <w:gridCol w:w="1400"/>
        <w:gridCol w:w="2000"/>
      </w:tblGrid>
      <w:tr>
        <w:trPr>
          <w:tblHeader/>
        </w:trPr>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Consensus plays by side</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Plays</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 (full)</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ROI (2026)</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10" w:before="10"/>
              <w:jc w:val="center"/>
            </w:pPr>
            <w:r>
              <w:rPr>
                <w:rFonts w:ascii="Arial" w:cs="Arial" w:eastAsia="Arial" w:hAnsi="Arial"/>
                <w:b/>
                <w:bCs/>
                <w:color w:val="FFFFFF"/>
                <w:sz w:val="18"/>
                <w:szCs w:val="18"/>
              </w:rPr>
              <w:t xml:space="preserve">Note</w:t>
            </w:r>
          </w:p>
        </w:tc>
      </w:tr>
      <w:tr>
        <w:tc>
          <w:tcPr>
            <w:tcW w:type="dxa" w:w="31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left"/>
            </w:pPr>
            <w:r>
              <w:rPr>
                <w:rFonts w:ascii="Arial" w:cs="Arial" w:eastAsia="Arial" w:hAnsi="Arial"/>
                <w:b/>
                <w:bCs/>
                <w:sz w:val="18"/>
                <w:szCs w:val="18"/>
              </w:rPr>
              <w:t xml:space="preserve">Dogs (+ML)</w:t>
            </w:r>
          </w:p>
        </w:tc>
        <w:tc>
          <w:tcPr>
            <w:tcW w:type="dxa" w:w="14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130</w:t>
            </w:r>
          </w:p>
        </w:tc>
        <w:tc>
          <w:tcPr>
            <w:tcW w:type="dxa" w:w="14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+18.8%</w:t>
            </w:r>
          </w:p>
        </w:tc>
        <w:tc>
          <w:tcPr>
            <w:tcW w:type="dxa" w:w="14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bCs/>
                <w:color w:val="2E7D32"/>
                <w:sz w:val="18"/>
                <w:szCs w:val="18"/>
              </w:rPr>
              <w:t xml:space="preserve">+19.1%</w:t>
            </w:r>
          </w:p>
        </w:tc>
        <w:tc>
          <w:tcPr>
            <w:tcW w:type="dxa" w:w="2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Robust across both periods</w:t>
            </w:r>
          </w:p>
        </w:tc>
      </w:tr>
      <w:tr>
        <w:tc>
          <w:tcPr>
            <w:tcW w:type="dxa" w:w="3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10" w:before="10"/>
              <w:jc w:val="left"/>
            </w:pPr>
            <w:r>
              <w:rPr>
                <w:rFonts w:ascii="Arial" w:cs="Arial" w:eastAsia="Arial" w:hAnsi="Arial"/>
                <w:b/>
                <w:bCs/>
                <w:sz w:val="18"/>
                <w:szCs w:val="18"/>
              </w:rPr>
              <w:t xml:space="preserve">Favourites (-ML)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62</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+20.3%</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10" w:before="10"/>
              <w:jc w:val="center"/>
            </w:pPr>
            <w:r>
              <w:rPr>
                <w:rFonts w:ascii="Arial" w:cs="Arial" w:eastAsia="Arial" w:hAnsi="Arial"/>
                <w:b/>
                <w:bCs/>
                <w:color w:val="C62828"/>
                <w:sz w:val="18"/>
                <w:szCs w:val="18"/>
              </w:rPr>
              <w:t xml:space="preserve">+1.4%</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10" w:before="10"/>
              <w:jc w:val="center"/>
            </w:pPr>
            <w:r>
              <w:rPr>
                <w:rFonts w:ascii="Arial" w:cs="Arial" w:eastAsia="Arial" w:hAnsi="Arial"/>
                <w:b w:val="false"/>
                <w:bCs w:val="false"/>
                <w:sz w:val="18"/>
                <w:szCs w:val="18"/>
              </w:rPr>
              <w:t xml:space="preserve">Edge thinned sharply in 2026</w:t>
            </w:r>
          </w:p>
        </w:tc>
      </w:tr>
    </w:tbl>
    <w:p>
      <w:pPr>
        <w:spacing w:after="120" w:before="100" w:line="276"/>
      </w:pPr>
      <w:r>
        <w:rPr>
          <w:rFonts w:ascii="Arial" w:cs="Arial" w:eastAsia="Arial" w:hAnsi="Arial"/>
        </w:rPr>
        <w:t xml:space="preserve">Consensus </w:t>
      </w:r>
      <w:r>
        <w:rPr>
          <w:rFonts w:ascii="Arial" w:cs="Arial" w:eastAsia="Arial" w:hAnsi="Arial"/>
          <w:b/>
          <w:bCs/>
        </w:rPr>
        <w:t xml:space="preserve">dogs</w:t>
      </w:r>
      <w:r>
        <w:rPr>
          <w:rFonts w:ascii="Arial" w:cs="Arial" w:eastAsia="Arial" w:hAnsi="Arial"/>
        </w:rPr>
        <w:t xml:space="preserve"> are robust across both periods (~19%). Consensus </w:t>
      </w:r>
      <w:r>
        <w:rPr>
          <w:rFonts w:ascii="Arial" w:cs="Arial" w:eastAsia="Arial" w:hAnsi="Arial"/>
          <w:b/>
          <w:bCs/>
        </w:rPr>
        <w:t xml:space="preserve">favourites</w:t>
      </w:r>
      <w:r>
        <w:rPr>
          <w:rFonts w:ascii="Arial" w:cs="Arial" w:eastAsia="Arial" w:hAnsi="Arial"/>
        </w:rPr>
        <w:t xml:space="preserve"> looked excellent over the full window (20.3%) but </w:t>
      </w:r>
      <w:r>
        <w:rPr>
          <w:rFonts w:ascii="Arial" w:cs="Arial" w:eastAsia="Arial" w:hAnsi="Arial"/>
          <w:b/>
          <w:bCs/>
          <w:color w:val="C62828"/>
        </w:rPr>
        <w:t xml:space="preserve">collapsed to near-breakeven in 2026 (1.4%)</w:t>
      </w:r>
      <w:r>
        <w:rPr>
          <w:rFonts w:ascii="Arial" w:cs="Arial" w:eastAsia="Arial" w:hAnsi="Arial"/>
        </w:rPr>
        <w:t xml:space="preserve"> — consistent with the season-long finding that 2026 favourites are structurally treacherous, even when both models agree.</w:t>
      </w:r>
    </w:p>
    <w:p>
      <w:pPr>
        <w:spacing w:after="120" w:before="40" w:line="276"/>
      </w:pPr>
      <w:r>
        <w:rPr>
          <w:rFonts w:ascii="Arial" w:cs="Arial" w:eastAsia="Arial" w:hAnsi="Arial"/>
          <w:b/>
          <w:bCs/>
        </w:rPr>
        <w:t xml:space="preserve">Deployment rule: </w:t>
      </w:r>
      <w:r>
        <w:rPr>
          <w:rFonts w:ascii="Arial" w:cs="Arial" w:eastAsia="Arial" w:hAnsi="Arial"/>
          <w:b/>
          <w:bCs/>
        </w:rPr>
        <w:t xml:space="preserve">bet consensus dogs with confidence; treat consensus favourites with caution in the current regime</w:t>
      </w:r>
      <w:r>
        <w:rPr>
          <w:rFonts w:ascii="Arial" w:cs="Arial" w:eastAsia="Arial" w:hAnsi="Arial"/>
        </w:rPr>
        <w:t xml:space="preserve"> (reduced stake, or hold until the favourite edge re-establishes).</w:t>
      </w:r>
    </w:p>
    <w:p>
      <w:pPr>
        <w:pStyle w:val="Heading1"/>
        <w:spacing w:after="120" w:before="240"/>
      </w:pPr>
      <w:r>
        <w:rPr>
          <w:rFonts w:ascii="Arial" w:cs="Arial" w:eastAsia="Arial" w:hAnsi="Arial"/>
          <w:color w:val="1F3864"/>
        </w:rPr>
        <w:t xml:space="preserve">7.  Implementation decision for MLB Scion</w:t>
      </w:r>
    </w:p>
    <w:p>
      <w:pPr>
        <w:pStyle w:val="ListParagraph"/>
        <w:numPr>
          <w:ilvl w:val="0"/>
          <w:numId w:val="3"/>
        </w:numPr>
        <w:spacing w:after="120" w:before="40" w:line="276"/>
      </w:pPr>
      <w:r>
        <w:rPr>
          <w:rFonts w:ascii="Arial" w:cs="Arial" w:eastAsia="Arial" w:hAnsi="Arial"/>
          <w:b/>
          <w:bCs/>
        </w:rPr>
        <w:t xml:space="preserve">Core strategy:</w:t>
      </w:r>
      <w:r>
        <w:rPr>
          <w:rFonts w:ascii="Arial" w:cs="Arial" w:eastAsia="Arial" w:hAnsi="Arial"/>
        </w:rPr>
        <w:t xml:space="preserve"> Setup 4 — play only when V119 and V123 agree on the same side (consensus).</w:t>
      </w:r>
    </w:p>
    <w:p>
      <w:pPr>
        <w:pStyle w:val="ListParagraph"/>
        <w:numPr>
          <w:ilvl w:val="0"/>
          <w:numId w:val="3"/>
        </w:numPr>
        <w:spacing w:after="120" w:before="40" w:line="276"/>
      </w:pPr>
      <w:r>
        <w:rPr>
          <w:rFonts w:ascii="Arial" w:cs="Arial" w:eastAsia="Arial" w:hAnsi="Arial"/>
          <w:b/>
          <w:bCs/>
        </w:rPr>
        <w:t xml:space="preserve">Drop entirely:</w:t>
      </w:r>
      <w:r>
        <w:rPr>
          <w:rFonts w:ascii="Arial" w:cs="Arial" w:eastAsia="Arial" w:hAnsi="Arial"/>
        </w:rPr>
        <w:t xml:space="preserve"> V123-only plays (V119 silent). They lose money (−1.6% full, −9.3% in 2026).</w:t>
      </w:r>
    </w:p>
    <w:p>
      <w:pPr>
        <w:pStyle w:val="ListParagraph"/>
        <w:numPr>
          <w:ilvl w:val="0"/>
          <w:numId w:val="3"/>
        </w:numPr>
        <w:spacing w:after="120" w:before="40" w:line="276"/>
      </w:pPr>
      <w:r>
        <w:rPr>
          <w:rFonts w:ascii="Arial" w:cs="Arial" w:eastAsia="Arial" w:hAnsi="Arial"/>
          <w:b/>
          <w:bCs/>
        </w:rPr>
        <w:t xml:space="preserve">Do not use the union.</w:t>
      </w:r>
      <w:r>
        <w:rPr>
          <w:rFonts w:ascii="Arial" w:cs="Arial" w:eastAsia="Arial" w:hAnsi="Arial"/>
        </w:rPr>
        <w:t xml:space="preserve"> Playing every signal is the worst strategy (6.7% full, 0.9% in 2026).</w:t>
      </w:r>
    </w:p>
    <w:p>
      <w:pPr>
        <w:pStyle w:val="ListParagraph"/>
        <w:numPr>
          <w:ilvl w:val="0"/>
          <w:numId w:val="3"/>
        </w:numPr>
        <w:spacing w:after="120" w:before="40" w:line="276"/>
      </w:pPr>
      <w:r>
        <w:rPr>
          <w:rFonts w:ascii="Arial" w:cs="Arial" w:eastAsia="Arial" w:hAnsi="Arial"/>
          <w:b/>
          <w:bCs/>
        </w:rPr>
        <w:t xml:space="preserve">Optional volume tier (low stake, monitored):</w:t>
      </w:r>
      <w:r>
        <w:rPr>
          <w:rFonts w:ascii="Arial" w:cs="Arial" w:eastAsia="Arial" w:hAnsi="Arial"/>
        </w:rPr>
        <w:t xml:space="preserve"> V119-only plays are mildly positive (+4.3%) but dilutive and the least stable bucket (only 15 V119 models). Include only if extra volume is required, at reduced stake; the pure consensus strategy is preferred.</w:t>
      </w:r>
    </w:p>
    <w:p>
      <w:pPr>
        <w:pStyle w:val="ListParagraph"/>
        <w:numPr>
          <w:ilvl w:val="0"/>
          <w:numId w:val="3"/>
        </w:numPr>
        <w:spacing w:after="120" w:before="40" w:line="276"/>
      </w:pPr>
      <w:r>
        <w:rPr>
          <w:rFonts w:ascii="Arial" w:cs="Arial" w:eastAsia="Arial" w:hAnsi="Arial"/>
          <w:b/>
          <w:bCs/>
        </w:rPr>
        <w:t xml:space="preserve">Stake the consensus core hardest</w:t>
      </w:r>
      <w:r>
        <w:rPr>
          <w:rFonts w:ascii="Arial" w:cs="Arial" w:eastAsia="Arial" w:hAnsi="Arial"/>
        </w:rPr>
        <w:t xml:space="preserve"> (it is the 19% / 12% engine); apply Kelly/fixed-tier sizing on top of the flat-stake figures shown here.</w:t>
      </w:r>
    </w:p>
    <w:p>
      <w:pPr>
        <w:pStyle w:val="ListParagraph"/>
        <w:numPr>
          <w:ilvl w:val="0"/>
          <w:numId w:val="3"/>
        </w:numPr>
        <w:spacing w:after="120" w:before="40" w:line="276"/>
      </w:pPr>
      <w:r>
        <w:rPr>
          <w:rFonts w:ascii="Arial" w:cs="Arial" w:eastAsia="Arial" w:hAnsi="Arial"/>
          <w:b/>
          <w:bCs/>
        </w:rPr>
        <w:t xml:space="preserve">Side discipline:</w:t>
      </w:r>
      <w:r>
        <w:rPr>
          <w:rFonts w:ascii="Arial" w:cs="Arial" w:eastAsia="Arial" w:hAnsi="Arial"/>
        </w:rPr>
        <w:t xml:space="preserve"> deploy consensus dogs with confidence; consensus favourites cautiously until their 2026 edge recovers.</w:t>
      </w:r>
    </w:p>
    <w:p>
      <w:pPr>
        <w:pStyle w:val="Heading1"/>
        <w:spacing w:after="120" w:before="240"/>
      </w:pPr>
      <w:r>
        <w:rPr>
          <w:rFonts w:ascii="Arial" w:cs="Arial" w:eastAsia="Arial" w:hAnsi="Arial"/>
          <w:color w:val="1F3864"/>
        </w:rPr>
        <w:t xml:space="preserve">8.  Caveats</w:t>
      </w:r>
    </w:p>
    <w:p>
      <w:pPr>
        <w:pStyle w:val="ListParagraph"/>
        <w:numPr>
          <w:ilvl w:val="0"/>
          <w:numId w:val="2"/>
        </w:numPr>
        <w:spacing w:after="120" w:before="40" w:line="276"/>
      </w:pPr>
      <w:r>
        <w:rPr>
          <w:rFonts w:ascii="Arial" w:cs="Arial" w:eastAsia="Arial" w:hAnsi="Arial"/>
        </w:rPr>
        <w:t xml:space="preserve">Consensus is 192 plays (82 in 2026) — a respectable but modest sample; treat 19.3% as “clearly the best bucket”, with the more conservative </w:t>
      </w:r>
      <w:r>
        <w:rPr>
          <w:rFonts w:ascii="Arial" w:cs="Arial" w:eastAsia="Arial" w:hAnsi="Arial"/>
          <w:b/>
          <w:bCs/>
        </w:rPr>
        <w:t xml:space="preserve">12% (2026) as the realistic deployment expectation.</w:t>
      </w:r>
    </w:p>
    <w:p>
      <w:pPr>
        <w:pStyle w:val="ListParagraph"/>
        <w:numPr>
          <w:ilvl w:val="0"/>
          <w:numId w:val="2"/>
        </w:numPr>
        <w:spacing w:after="120" w:before="40" w:line="276"/>
      </w:pPr>
      <w:r>
        <w:rPr>
          <w:rFonts w:ascii="Arial" w:cs="Arial" w:eastAsia="Arial" w:hAnsi="Arial"/>
        </w:rPr>
        <w:t xml:space="preserve">V119 is still a 15-model ensemble and growing; the V119-side buckets may shift as it fills out.</w:t>
      </w:r>
    </w:p>
    <w:p>
      <w:pPr>
        <w:pStyle w:val="ListParagraph"/>
        <w:numPr>
          <w:ilvl w:val="0"/>
          <w:numId w:val="2"/>
        </w:numPr>
        <w:spacing w:after="120" w:before="40" w:line="276"/>
      </w:pPr>
      <w:r>
        <w:rPr>
          <w:rFonts w:ascii="Arial" w:cs="Arial" w:eastAsia="Arial" w:hAnsi="Arial"/>
        </w:rPr>
        <w:t xml:space="preserve">All figures are flat-stake (1 unit) on Pinnacle-referenced edges; realised live ROI depends on obtainable prices and line movement.</w:t>
      </w:r>
    </w:p>
    <w:p>
      <w:pPr>
        <w:pBdr>
          <w:top w:val="single" w:color="BFBFBF" w:sz="6" w:space="4"/>
        </w:pBdr>
        <w:spacing w:before="220"/>
      </w:pPr>
      <w:r>
        <w:rPr>
          <w:rFonts w:ascii="Arial" w:cs="Arial" w:eastAsia="Arial" w:hAnsi="Arial"/>
          <w:i/>
          <w:iCs/>
          <w:color w:val="808080"/>
          <w:sz w:val="16"/>
          <w:szCs w:val="16"/>
        </w:rPr>
        <w:t xml:space="preserve">Prepared for MLB Scion implementation — V119 / V123 ensemble integration. Flat-stake outsample evaluation, 05 Jun 2025 – 05 Jun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2026-06-17T21:32:49.123Z</dcterms:created>
  <dcterms:modified xsi:type="dcterms:W3CDTF">2026-06-17T21:32:49.123Z</dcterms:modified>
</cp:coreProperties>
</file>

<file path=docProps/custom.xml><?xml version="1.0" encoding="utf-8"?>
<Properties xmlns="http://schemas.openxmlformats.org/officeDocument/2006/custom-properties" xmlns:vt="http://schemas.openxmlformats.org/officeDocument/2006/docPropsVTypes"/>
</file>