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83857" w14:textId="77777777" w:rsidR="00F66136" w:rsidRDefault="00000000">
      <w:pPr>
        <w:spacing w:after="60"/>
      </w:pPr>
      <w:r>
        <w:rPr>
          <w:b/>
          <w:bCs/>
          <w:color w:val="1F3A5F"/>
          <w:sz w:val="40"/>
          <w:szCs w:val="40"/>
        </w:rPr>
        <w:t>MLB Scion — What Actually Happened to the Season</w:t>
      </w:r>
    </w:p>
    <w:p w14:paraId="46E6378C" w14:textId="77777777" w:rsidR="00F66136" w:rsidRDefault="00000000">
      <w:pPr>
        <w:spacing w:after="60"/>
      </w:pPr>
      <w:r>
        <w:rPr>
          <w:i/>
          <w:iCs/>
          <w:color w:val="595959"/>
          <w:sz w:val="20"/>
          <w:szCs w:val="20"/>
        </w:rPr>
        <w:t>V25.08b2SE · balance sheet to 11 Jun 2026 · a read-over-coffee summary</w:t>
      </w:r>
    </w:p>
    <w:p w14:paraId="08EDDCD1" w14:textId="77777777" w:rsidR="00F66136" w:rsidRDefault="00F66136">
      <w:pPr>
        <w:pBdr>
          <w:bottom w:val="single" w:sz="6" w:space="1" w:color="1F3A5F"/>
        </w:pBdr>
        <w:spacing w:after="200"/>
      </w:pPr>
    </w:p>
    <w:p w14:paraId="283CE112" w14:textId="77777777" w:rsidR="00F66136" w:rsidRDefault="00000000">
      <w:pPr>
        <w:pStyle w:val="Heading2"/>
      </w:pPr>
      <w:r>
        <w:t>The headline: there was no June collapse, and no cliff</w:t>
      </w:r>
    </w:p>
    <w:p w14:paraId="42932A48" w14:textId="77777777" w:rsidR="00F66136" w:rsidRDefault="00000000">
      <w:pPr>
        <w:spacing w:after="160" w:line="276" w:lineRule="auto"/>
      </w:pPr>
      <w:r>
        <w:t xml:space="preserve">The story we’d been telling — “$110k down to $20k, probably model and data drift from the </w:t>
      </w:r>
      <w:proofErr w:type="spellStart"/>
      <w:r>
        <w:t>dGEN</w:t>
      </w:r>
      <w:proofErr w:type="spellEnd"/>
      <w:r>
        <w:t xml:space="preserve"> clean-up, hitting around 5 June” — doesn’t survive contact with the numbers.</w:t>
      </w:r>
    </w:p>
    <w:p w14:paraId="22C9F595" w14:textId="77777777" w:rsidR="00F66136" w:rsidRDefault="00000000">
      <w:pPr>
        <w:pStyle w:val="ListParagraph"/>
        <w:numPr>
          <w:ilvl w:val="0"/>
          <w:numId w:val="2"/>
        </w:numPr>
        <w:spacing w:after="100" w:line="276" w:lineRule="auto"/>
      </w:pPr>
      <w:r>
        <w:t xml:space="preserve">The equity curve </w:t>
      </w:r>
      <w:r>
        <w:rPr>
          <w:b/>
          <w:bCs/>
        </w:rPr>
        <w:t>peaked at $117,560 on 11 May</w:t>
      </w:r>
      <w:r>
        <w:t>, not in June.</w:t>
      </w:r>
    </w:p>
    <w:p w14:paraId="38DF1E69" w14:textId="77777777" w:rsidR="00F66136" w:rsidRDefault="00000000">
      <w:pPr>
        <w:pStyle w:val="ListParagraph"/>
        <w:numPr>
          <w:ilvl w:val="0"/>
          <w:numId w:val="2"/>
        </w:numPr>
        <w:spacing w:after="100" w:line="276" w:lineRule="auto"/>
      </w:pPr>
      <w:r>
        <w:t xml:space="preserve">It then bled down in a high-variance sawtooth through late May and into June, briefly going </w:t>
      </w:r>
      <w:r>
        <w:rPr>
          <w:b/>
          <w:bCs/>
        </w:rPr>
        <w:t>negative (−$8,320 on 8 June)</w:t>
      </w:r>
      <w:r>
        <w:t xml:space="preserve"> before recovering to </w:t>
      </w:r>
      <w:r>
        <w:rPr>
          <w:b/>
          <w:bCs/>
        </w:rPr>
        <w:t>+$8,120</w:t>
      </w:r>
      <w:r>
        <w:t xml:space="preserve"> today.</w:t>
      </w:r>
    </w:p>
    <w:p w14:paraId="629E6E58" w14:textId="77777777" w:rsidR="00F66136" w:rsidRDefault="00000000">
      <w:pPr>
        <w:pStyle w:val="ListParagraph"/>
        <w:numPr>
          <w:ilvl w:val="0"/>
          <w:numId w:val="2"/>
        </w:numPr>
        <w:spacing w:after="100" w:line="276" w:lineRule="auto"/>
      </w:pPr>
      <w:r>
        <w:rPr>
          <w:b/>
          <w:bCs/>
        </w:rPr>
        <w:t>5 June was a +$7,680 day.</w:t>
      </w:r>
      <w:r>
        <w:t xml:space="preserve"> There is no discontinuity there. The earlier hypothesis that the </w:t>
      </w:r>
      <w:proofErr w:type="spellStart"/>
      <w:r>
        <w:t>dGEN</w:t>
      </w:r>
      <w:proofErr w:type="spellEnd"/>
      <w:r>
        <w:t xml:space="preserve"> feature fix caused a train-serve cliff is off the table.</w:t>
      </w:r>
    </w:p>
    <w:p w14:paraId="72FC1BC1" w14:textId="77777777" w:rsidR="00F66136" w:rsidRDefault="00000000">
      <w:pPr>
        <w:spacing w:after="160" w:line="276" w:lineRule="auto"/>
      </w:pPr>
      <w:proofErr w:type="gramStart"/>
      <w:r>
        <w:t>So</w:t>
      </w:r>
      <w:proofErr w:type="gramEnd"/>
      <w:r>
        <w:t xml:space="preserve"> the season didn’t crash. It turned over $2.01m to finish at </w:t>
      </w:r>
      <w:r>
        <w:rPr>
          <w:b/>
          <w:bCs/>
        </w:rPr>
        <w:t>+0.40% ROI</w:t>
      </w:r>
      <w:r>
        <w:t xml:space="preserve"> — essentially break-even — and the question worth answering isn’t “what broke in June” but “why is a system that should be making 8% sitting at zero.”</w:t>
      </w:r>
    </w:p>
    <w:p w14:paraId="4CC1A9A2" w14:textId="77777777" w:rsidR="00F66136" w:rsidRDefault="00000000">
      <w:pPr>
        <w:pStyle w:val="Heading2"/>
      </w:pPr>
      <w:r>
        <w:t>The answer is almost a single cell</w:t>
      </w:r>
    </w:p>
    <w:p w14:paraId="3C9582B2" w14:textId="77777777" w:rsidR="00F66136" w:rsidRDefault="00000000">
      <w:pPr>
        <w:spacing w:after="160" w:line="276" w:lineRule="auto"/>
      </w:pPr>
      <w:r>
        <w:t>Breaking the book down by side, price band and stake size, nearly all the damage lands in one 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200"/>
        <w:gridCol w:w="1500"/>
        <w:gridCol w:w="1880"/>
        <w:gridCol w:w="1880"/>
      </w:tblGrid>
      <w:tr w:rsidR="00F66136" w14:paraId="58C3E05A"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4EC3AE25" w14:textId="77777777" w:rsidR="00F66136" w:rsidRDefault="00000000">
            <w:r>
              <w:rPr>
                <w:b/>
                <w:bCs/>
                <w:color w:val="FFFFFF"/>
                <w:sz w:val="20"/>
                <w:szCs w:val="20"/>
              </w:rPr>
              <w:t>Favourite price band</w:t>
            </w:r>
          </w:p>
        </w:tc>
        <w:tc>
          <w:tcPr>
            <w:tcW w:w="1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43FCA638" w14:textId="77777777" w:rsidR="00F66136" w:rsidRDefault="00000000">
            <w:r>
              <w:rPr>
                <w:b/>
                <w:bCs/>
                <w:color w:val="FFFFFF"/>
                <w:sz w:val="20"/>
                <w:szCs w:val="20"/>
              </w:rPr>
              <w:t>Bets</w:t>
            </w:r>
          </w:p>
        </w:tc>
        <w:tc>
          <w:tcPr>
            <w:tcW w:w="15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4E8197F2" w14:textId="77777777" w:rsidR="00F66136" w:rsidRDefault="00000000">
            <w:r>
              <w:rPr>
                <w:b/>
                <w:bCs/>
                <w:color w:val="FFFFFF"/>
                <w:sz w:val="20"/>
                <w:szCs w:val="20"/>
              </w:rPr>
              <w:t>Win %</w:t>
            </w:r>
          </w:p>
        </w:tc>
        <w:tc>
          <w:tcPr>
            <w:tcW w:w="188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5CAF0471" w14:textId="77777777" w:rsidR="00F66136" w:rsidRDefault="00000000">
            <w:r>
              <w:rPr>
                <w:b/>
                <w:bCs/>
                <w:color w:val="FFFFFF"/>
                <w:sz w:val="20"/>
                <w:szCs w:val="20"/>
              </w:rPr>
              <w:t>P/L</w:t>
            </w:r>
          </w:p>
        </w:tc>
        <w:tc>
          <w:tcPr>
            <w:tcW w:w="188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414A419C" w14:textId="77777777" w:rsidR="00F66136" w:rsidRDefault="00000000">
            <w:r>
              <w:rPr>
                <w:b/>
                <w:bCs/>
                <w:color w:val="FFFFFF"/>
                <w:sz w:val="20"/>
                <w:szCs w:val="20"/>
              </w:rPr>
              <w:t>ROI</w:t>
            </w:r>
          </w:p>
        </w:tc>
      </w:tr>
      <w:tr w:rsidR="00F66136" w14:paraId="0FF9668C"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AF3EA"/>
            <w:tcMar>
              <w:top w:w="80" w:type="dxa"/>
              <w:left w:w="120" w:type="dxa"/>
              <w:bottom w:w="80" w:type="dxa"/>
              <w:right w:w="120" w:type="dxa"/>
            </w:tcMar>
          </w:tcPr>
          <w:p w14:paraId="6D82BF00" w14:textId="77777777" w:rsidR="00F66136" w:rsidRDefault="00000000">
            <w:r>
              <w:rPr>
                <w:sz w:val="20"/>
                <w:szCs w:val="20"/>
              </w:rPr>
              <w:t>−100 to −110</w:t>
            </w:r>
          </w:p>
        </w:tc>
        <w:tc>
          <w:tcPr>
            <w:tcW w:w="1200" w:type="dxa"/>
            <w:tcBorders>
              <w:top w:val="single" w:sz="1" w:space="0" w:color="CCCCCC"/>
              <w:left w:val="single" w:sz="1" w:space="0" w:color="CCCCCC"/>
              <w:bottom w:val="single" w:sz="1" w:space="0" w:color="CCCCCC"/>
              <w:right w:val="single" w:sz="1" w:space="0" w:color="CCCCCC"/>
            </w:tcBorders>
            <w:shd w:val="clear" w:color="auto" w:fill="EAF3EA"/>
            <w:tcMar>
              <w:top w:w="80" w:type="dxa"/>
              <w:left w:w="120" w:type="dxa"/>
              <w:bottom w:w="80" w:type="dxa"/>
              <w:right w:w="120" w:type="dxa"/>
            </w:tcMar>
          </w:tcPr>
          <w:p w14:paraId="4BE648D4" w14:textId="77777777" w:rsidR="00F66136" w:rsidRDefault="00000000">
            <w:pPr>
              <w:jc w:val="center"/>
            </w:pPr>
            <w:r>
              <w:rPr>
                <w:sz w:val="20"/>
                <w:szCs w:val="20"/>
              </w:rPr>
              <w:t>29</w:t>
            </w:r>
          </w:p>
        </w:tc>
        <w:tc>
          <w:tcPr>
            <w:tcW w:w="1500" w:type="dxa"/>
            <w:tcBorders>
              <w:top w:val="single" w:sz="1" w:space="0" w:color="CCCCCC"/>
              <w:left w:val="single" w:sz="1" w:space="0" w:color="CCCCCC"/>
              <w:bottom w:val="single" w:sz="1" w:space="0" w:color="CCCCCC"/>
              <w:right w:val="single" w:sz="1" w:space="0" w:color="CCCCCC"/>
            </w:tcBorders>
            <w:shd w:val="clear" w:color="auto" w:fill="EAF3EA"/>
            <w:tcMar>
              <w:top w:w="80" w:type="dxa"/>
              <w:left w:w="120" w:type="dxa"/>
              <w:bottom w:w="80" w:type="dxa"/>
              <w:right w:w="120" w:type="dxa"/>
            </w:tcMar>
          </w:tcPr>
          <w:p w14:paraId="5C84C129" w14:textId="77777777" w:rsidR="00F66136" w:rsidRDefault="00000000">
            <w:pPr>
              <w:jc w:val="center"/>
            </w:pPr>
            <w:r>
              <w:rPr>
                <w:sz w:val="20"/>
                <w:szCs w:val="20"/>
              </w:rPr>
              <w:t>58.6%</w:t>
            </w:r>
          </w:p>
        </w:tc>
        <w:tc>
          <w:tcPr>
            <w:tcW w:w="1880" w:type="dxa"/>
            <w:tcBorders>
              <w:top w:val="single" w:sz="1" w:space="0" w:color="CCCCCC"/>
              <w:left w:val="single" w:sz="1" w:space="0" w:color="CCCCCC"/>
              <w:bottom w:val="single" w:sz="1" w:space="0" w:color="CCCCCC"/>
              <w:right w:val="single" w:sz="1" w:space="0" w:color="CCCCCC"/>
            </w:tcBorders>
            <w:shd w:val="clear" w:color="auto" w:fill="EAF3EA"/>
            <w:tcMar>
              <w:top w:w="80" w:type="dxa"/>
              <w:left w:w="120" w:type="dxa"/>
              <w:bottom w:w="80" w:type="dxa"/>
              <w:right w:w="120" w:type="dxa"/>
            </w:tcMar>
          </w:tcPr>
          <w:p w14:paraId="6BF31B0F" w14:textId="77777777" w:rsidR="00F66136" w:rsidRDefault="00000000">
            <w:pPr>
              <w:jc w:val="right"/>
            </w:pPr>
            <w:r>
              <w:rPr>
                <w:color w:val="1E6B1E"/>
                <w:sz w:val="20"/>
                <w:szCs w:val="20"/>
              </w:rPr>
              <w:t>+$11,355</w:t>
            </w:r>
          </w:p>
        </w:tc>
        <w:tc>
          <w:tcPr>
            <w:tcW w:w="1880" w:type="dxa"/>
            <w:tcBorders>
              <w:top w:val="single" w:sz="1" w:space="0" w:color="CCCCCC"/>
              <w:left w:val="single" w:sz="1" w:space="0" w:color="CCCCCC"/>
              <w:bottom w:val="single" w:sz="1" w:space="0" w:color="CCCCCC"/>
              <w:right w:val="single" w:sz="1" w:space="0" w:color="CCCCCC"/>
            </w:tcBorders>
            <w:shd w:val="clear" w:color="auto" w:fill="EAF3EA"/>
            <w:tcMar>
              <w:top w:w="80" w:type="dxa"/>
              <w:left w:w="120" w:type="dxa"/>
              <w:bottom w:w="80" w:type="dxa"/>
              <w:right w:w="120" w:type="dxa"/>
            </w:tcMar>
          </w:tcPr>
          <w:p w14:paraId="6861EE21" w14:textId="77777777" w:rsidR="00F66136" w:rsidRDefault="00000000">
            <w:pPr>
              <w:jc w:val="right"/>
            </w:pPr>
            <w:r>
              <w:rPr>
                <w:color w:val="1E6B1E"/>
                <w:sz w:val="20"/>
                <w:szCs w:val="20"/>
              </w:rPr>
              <w:t>+8.7%</w:t>
            </w:r>
          </w:p>
        </w:tc>
      </w:tr>
      <w:tr w:rsidR="00F66136" w14:paraId="7CCED1D5"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7E2E2"/>
            <w:tcMar>
              <w:top w:w="80" w:type="dxa"/>
              <w:left w:w="120" w:type="dxa"/>
              <w:bottom w:w="80" w:type="dxa"/>
              <w:right w:w="120" w:type="dxa"/>
            </w:tcMar>
          </w:tcPr>
          <w:p w14:paraId="6DDFB451" w14:textId="77777777" w:rsidR="00F66136" w:rsidRDefault="00000000">
            <w:r>
              <w:rPr>
                <w:b/>
                <w:bCs/>
                <w:sz w:val="20"/>
                <w:szCs w:val="20"/>
              </w:rPr>
              <w:t>−111 to −130</w:t>
            </w:r>
          </w:p>
        </w:tc>
        <w:tc>
          <w:tcPr>
            <w:tcW w:w="1200" w:type="dxa"/>
            <w:tcBorders>
              <w:top w:val="single" w:sz="1" w:space="0" w:color="CCCCCC"/>
              <w:left w:val="single" w:sz="1" w:space="0" w:color="CCCCCC"/>
              <w:bottom w:val="single" w:sz="1" w:space="0" w:color="CCCCCC"/>
              <w:right w:val="single" w:sz="1" w:space="0" w:color="CCCCCC"/>
            </w:tcBorders>
            <w:shd w:val="clear" w:color="auto" w:fill="F7E2E2"/>
            <w:tcMar>
              <w:top w:w="80" w:type="dxa"/>
              <w:left w:w="120" w:type="dxa"/>
              <w:bottom w:w="80" w:type="dxa"/>
              <w:right w:w="120" w:type="dxa"/>
            </w:tcMar>
          </w:tcPr>
          <w:p w14:paraId="3A156EC1" w14:textId="77777777" w:rsidR="00F66136" w:rsidRDefault="00000000">
            <w:pPr>
              <w:jc w:val="center"/>
            </w:pPr>
            <w:r>
              <w:rPr>
                <w:sz w:val="20"/>
                <w:szCs w:val="20"/>
              </w:rPr>
              <w:t>28</w:t>
            </w:r>
          </w:p>
        </w:tc>
        <w:tc>
          <w:tcPr>
            <w:tcW w:w="1500" w:type="dxa"/>
            <w:tcBorders>
              <w:top w:val="single" w:sz="1" w:space="0" w:color="CCCCCC"/>
              <w:left w:val="single" w:sz="1" w:space="0" w:color="CCCCCC"/>
              <w:bottom w:val="single" w:sz="1" w:space="0" w:color="CCCCCC"/>
              <w:right w:val="single" w:sz="1" w:space="0" w:color="CCCCCC"/>
            </w:tcBorders>
            <w:shd w:val="clear" w:color="auto" w:fill="F7E2E2"/>
            <w:tcMar>
              <w:top w:w="80" w:type="dxa"/>
              <w:left w:w="120" w:type="dxa"/>
              <w:bottom w:w="80" w:type="dxa"/>
              <w:right w:w="120" w:type="dxa"/>
            </w:tcMar>
          </w:tcPr>
          <w:p w14:paraId="6346A82B" w14:textId="77777777" w:rsidR="00F66136" w:rsidRDefault="00000000">
            <w:pPr>
              <w:jc w:val="center"/>
            </w:pPr>
            <w:r>
              <w:rPr>
                <w:b/>
                <w:bCs/>
                <w:sz w:val="20"/>
                <w:szCs w:val="20"/>
              </w:rPr>
              <w:t>39.3%</w:t>
            </w:r>
          </w:p>
        </w:tc>
        <w:tc>
          <w:tcPr>
            <w:tcW w:w="1880" w:type="dxa"/>
            <w:tcBorders>
              <w:top w:val="single" w:sz="1" w:space="0" w:color="CCCCCC"/>
              <w:left w:val="single" w:sz="1" w:space="0" w:color="CCCCCC"/>
              <w:bottom w:val="single" w:sz="1" w:space="0" w:color="CCCCCC"/>
              <w:right w:val="single" w:sz="1" w:space="0" w:color="CCCCCC"/>
            </w:tcBorders>
            <w:shd w:val="clear" w:color="auto" w:fill="F7E2E2"/>
            <w:tcMar>
              <w:top w:w="80" w:type="dxa"/>
              <w:left w:w="120" w:type="dxa"/>
              <w:bottom w:w="80" w:type="dxa"/>
              <w:right w:w="120" w:type="dxa"/>
            </w:tcMar>
          </w:tcPr>
          <w:p w14:paraId="28AE7375" w14:textId="77777777" w:rsidR="00F66136" w:rsidRDefault="00000000">
            <w:pPr>
              <w:jc w:val="right"/>
            </w:pPr>
            <w:r>
              <w:rPr>
                <w:b/>
                <w:bCs/>
                <w:color w:val="B22222"/>
                <w:sz w:val="20"/>
                <w:szCs w:val="20"/>
              </w:rPr>
              <w:t>−$61,800</w:t>
            </w:r>
          </w:p>
        </w:tc>
        <w:tc>
          <w:tcPr>
            <w:tcW w:w="1880" w:type="dxa"/>
            <w:tcBorders>
              <w:top w:val="single" w:sz="1" w:space="0" w:color="CCCCCC"/>
              <w:left w:val="single" w:sz="1" w:space="0" w:color="CCCCCC"/>
              <w:bottom w:val="single" w:sz="1" w:space="0" w:color="CCCCCC"/>
              <w:right w:val="single" w:sz="1" w:space="0" w:color="CCCCCC"/>
            </w:tcBorders>
            <w:shd w:val="clear" w:color="auto" w:fill="F7E2E2"/>
            <w:tcMar>
              <w:top w:w="80" w:type="dxa"/>
              <w:left w:w="120" w:type="dxa"/>
              <w:bottom w:w="80" w:type="dxa"/>
              <w:right w:w="120" w:type="dxa"/>
            </w:tcMar>
          </w:tcPr>
          <w:p w14:paraId="47901051" w14:textId="77777777" w:rsidR="00F66136" w:rsidRDefault="00000000">
            <w:pPr>
              <w:jc w:val="right"/>
            </w:pPr>
            <w:r>
              <w:rPr>
                <w:b/>
                <w:bCs/>
                <w:color w:val="B22222"/>
                <w:sz w:val="20"/>
                <w:szCs w:val="20"/>
              </w:rPr>
              <w:t>−42.5%</w:t>
            </w:r>
          </w:p>
        </w:tc>
      </w:tr>
      <w:tr w:rsidR="00F66136" w14:paraId="11B5D48D"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4D37D" w14:textId="77777777" w:rsidR="00F66136" w:rsidRDefault="00000000">
            <w:r>
              <w:rPr>
                <w:sz w:val="20"/>
                <w:szCs w:val="20"/>
              </w:rPr>
              <w:t>−131 to −150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226AC" w14:textId="77777777" w:rsidR="00F66136" w:rsidRDefault="00000000">
            <w:pPr>
              <w:jc w:val="center"/>
            </w:pPr>
            <w:r>
              <w:rPr>
                <w:sz w:val="20"/>
                <w:szCs w:val="20"/>
              </w:rPr>
              <w:t>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25A2A" w14:textId="77777777" w:rsidR="00F66136" w:rsidRDefault="00000000">
            <w:pPr>
              <w:jc w:val="center"/>
            </w:pPr>
            <w:r>
              <w:rPr>
                <w:sz w:val="20"/>
                <w:szCs w:val="20"/>
              </w:rPr>
              <w:t>60.0%</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9FA9C" w14:textId="77777777" w:rsidR="00F66136" w:rsidRDefault="00000000">
            <w:pPr>
              <w:jc w:val="right"/>
            </w:pPr>
            <w:r>
              <w:rPr>
                <w:sz w:val="20"/>
                <w:szCs w:val="20"/>
              </w:rPr>
              <w:t>−$8,685</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02E87" w14:textId="77777777" w:rsidR="00F66136" w:rsidRDefault="00000000">
            <w:pPr>
              <w:jc w:val="right"/>
            </w:pPr>
            <w:r>
              <w:rPr>
                <w:sz w:val="20"/>
                <w:szCs w:val="20"/>
              </w:rPr>
              <w:t>−11.8%</w:t>
            </w:r>
          </w:p>
        </w:tc>
      </w:tr>
    </w:tbl>
    <w:p w14:paraId="07A7E118" w14:textId="77777777" w:rsidR="00F66136" w:rsidRDefault="00F66136">
      <w:pPr>
        <w:spacing w:after="160"/>
      </w:pPr>
    </w:p>
    <w:p w14:paraId="4E730E37" w14:textId="77777777" w:rsidR="00F66136" w:rsidRDefault="00000000">
      <w:pPr>
        <w:spacing w:after="160" w:line="276" w:lineRule="auto"/>
      </w:pPr>
      <w:r>
        <w:t xml:space="preserve">And within that −111/−130 band, the bleed is concentrated entirely in the </w:t>
      </w:r>
      <w:r>
        <w:rPr>
          <w:b/>
          <w:bCs/>
        </w:rPr>
        <w:t xml:space="preserve">top $6,000 stake tier: 21 bets, </w:t>
      </w:r>
      <w:proofErr w:type="gramStart"/>
      <w:r>
        <w:rPr>
          <w:b/>
          <w:bCs/>
        </w:rPr>
        <w:t>33.3% win</w:t>
      </w:r>
      <w:proofErr w:type="gramEnd"/>
      <w:r>
        <w:rPr>
          <w:b/>
          <w:bCs/>
        </w:rPr>
        <w:t xml:space="preserve"> rate, −$61,140, −48.5% ROI.</w:t>
      </w:r>
    </w:p>
    <w:p w14:paraId="2EF52C2C" w14:textId="77777777" w:rsidR="00F66136" w:rsidRDefault="00000000">
      <w:pPr>
        <w:spacing w:after="160" w:line="276" w:lineRule="auto"/>
      </w:pPr>
      <w:r>
        <w:t xml:space="preserve">That one cell is </w:t>
      </w:r>
      <w:r>
        <w:rPr>
          <w:b/>
          <w:bCs/>
        </w:rPr>
        <w:t>96% of the entire −$63,780 favourite loss</w:t>
      </w:r>
      <w:r>
        <w:t xml:space="preserve">. It is not a bad month — it loses in every month (Apr −$15,600, May −$33,450, Jun −$12,750). Strip those 21 bets and the </w:t>
      </w:r>
      <w:proofErr w:type="gramStart"/>
      <w:r>
        <w:t>EX book</w:t>
      </w:r>
      <w:proofErr w:type="gramEnd"/>
      <w:r>
        <w:t xml:space="preserve"> goes from +$6,090 to roughly </w:t>
      </w:r>
      <w:r>
        <w:rPr>
          <w:b/>
          <w:bCs/>
        </w:rPr>
        <w:t>+$67,000</w:t>
      </w:r>
      <w:r>
        <w:t>.</w:t>
      </w:r>
    </w:p>
    <w:p w14:paraId="0BDC5BAA" w14:textId="77777777" w:rsidR="00287E45" w:rsidRDefault="00287E45">
      <w:pPr>
        <w:rPr>
          <w:b/>
          <w:bCs/>
          <w:color w:val="1F3A5F"/>
          <w:sz w:val="26"/>
          <w:szCs w:val="26"/>
        </w:rPr>
      </w:pPr>
      <w:r>
        <w:br w:type="page"/>
      </w:r>
    </w:p>
    <w:p w14:paraId="0EAC65CF" w14:textId="5E62B591" w:rsidR="00F66136" w:rsidRDefault="00000000">
      <w:pPr>
        <w:pStyle w:val="Heading2"/>
      </w:pPr>
      <w:r>
        <w:lastRenderedPageBreak/>
        <w:t>Everything else is working</w:t>
      </w:r>
    </w:p>
    <w:p w14:paraId="06CA772A" w14:textId="77777777" w:rsidR="00F66136" w:rsidRDefault="00000000">
      <w:pPr>
        <w:spacing w:after="160" w:line="276" w:lineRule="auto"/>
      </w:pPr>
      <w:r>
        <w:t>This is the part that matters for morale and direction: the rest of the book is fine.</w:t>
      </w:r>
    </w:p>
    <w:p w14:paraId="204A4C3E" w14:textId="77777777" w:rsidR="00F66136" w:rsidRDefault="00000000">
      <w:pPr>
        <w:pStyle w:val="ListParagraph"/>
        <w:numPr>
          <w:ilvl w:val="0"/>
          <w:numId w:val="2"/>
        </w:numPr>
        <w:spacing w:after="100" w:line="276" w:lineRule="auto"/>
      </w:pPr>
      <w:r>
        <w:rPr>
          <w:b/>
          <w:bCs/>
        </w:rPr>
        <w:t>Dogs: +6.0% ROI</w:t>
      </w:r>
      <w:r>
        <w:t xml:space="preserve"> (+$69,870 on the </w:t>
      </w:r>
      <w:proofErr w:type="gramStart"/>
      <w:r>
        <w:t>EX side</w:t>
      </w:r>
      <w:proofErr w:type="gramEnd"/>
      <w:r>
        <w:t>) — the engine is healthy.</w:t>
      </w:r>
    </w:p>
    <w:p w14:paraId="5D5BB306" w14:textId="77777777" w:rsidR="00F66136" w:rsidRDefault="00000000">
      <w:pPr>
        <w:pStyle w:val="ListParagraph"/>
        <w:numPr>
          <w:ilvl w:val="0"/>
          <w:numId w:val="2"/>
        </w:numPr>
        <w:spacing w:after="100" w:line="276" w:lineRule="auto"/>
      </w:pPr>
      <w:r>
        <w:rPr>
          <w:b/>
          <w:bCs/>
        </w:rPr>
        <w:t>Small favourites (−100 to −110): +8.7%</w:t>
      </w:r>
      <w:r>
        <w:t xml:space="preserve"> — favourites aren’t all bad, just the juicy ones.</w:t>
      </w:r>
    </w:p>
    <w:p w14:paraId="21EFD87B" w14:textId="77777777" w:rsidR="00F66136" w:rsidRDefault="00000000">
      <w:pPr>
        <w:pStyle w:val="ListParagraph"/>
        <w:numPr>
          <w:ilvl w:val="0"/>
          <w:numId w:val="2"/>
        </w:numPr>
        <w:spacing w:after="100" w:line="276" w:lineRule="auto"/>
      </w:pPr>
      <w:r>
        <w:rPr>
          <w:b/>
          <w:bCs/>
        </w:rPr>
        <w:t>The $3,000 stake tier: +14.9% (+$61,830)</w:t>
      </w:r>
      <w:r>
        <w:t xml:space="preserve"> — the lower-confidence bets are the best bets.</w:t>
      </w:r>
    </w:p>
    <w:p w14:paraId="09509E5C" w14:textId="77777777" w:rsidR="00F66136" w:rsidRDefault="00000000">
      <w:pPr>
        <w:spacing w:after="160" w:line="276" w:lineRule="auto"/>
      </w:pPr>
      <w:r>
        <w:t xml:space="preserve">Which exposes the actual fault. The biggest stakes sit on the worst bets: </w:t>
      </w:r>
      <w:r>
        <w:rPr>
          <w:b/>
          <w:bCs/>
        </w:rPr>
        <w:t>$6,000 favourites are −32%, while $6,000 dogs are a perfectly healthy +6.4%.</w:t>
      </w:r>
      <w:r>
        <w:t xml:space="preserve"> The confidence signal is inverted on the favourite side — the ensemble stakes hardest exactly where it is least right. Laying −120 juice and winning a third of the time is arithmetic, not bad luck: that price needs ~55% to break even.</w:t>
      </w:r>
    </w:p>
    <w:p w14:paraId="74D7E152" w14:textId="77777777" w:rsidR="00F66136" w:rsidRDefault="00000000">
      <w:pPr>
        <w:pStyle w:val="Heading2"/>
      </w:pPr>
      <w:r>
        <w:t>Being honest about the statistics</w:t>
      </w:r>
    </w:p>
    <w:p w14:paraId="18EC05F2" w14:textId="77777777" w:rsidR="00F66136" w:rsidRDefault="00000000">
      <w:pPr>
        <w:spacing w:after="160" w:line="276" w:lineRule="auto"/>
      </w:pPr>
      <w:r>
        <w:t>Twenty-one bets is a small number, and I’ve sliced the data four ways to isolate this, which is precisely how you manufacture a pattern that isn’t there. Three things keep it credible: it’s negative in all three months (variance doesn’t repeat that cleanly), it has a structural mechanism (the breakeven arithmetic above), and the action it implies isn’t a significance claim. “Don’t put your maximum stake on your empirically worst, most-</w:t>
      </w:r>
      <w:proofErr w:type="spellStart"/>
      <w:r>
        <w:t>vig</w:t>
      </w:r>
      <w:proofErr w:type="spellEnd"/>
      <w:r>
        <w:t>-exposed bet type until you understand why” is just risk management — it holds even if the true number is merely mediocre rather than −48%.</w:t>
      </w:r>
    </w:p>
    <w:p w14:paraId="31ACD1D5" w14:textId="77777777" w:rsidR="00F66136" w:rsidRDefault="00000000">
      <w:pPr>
        <w:pStyle w:val="Heading2"/>
      </w:pPr>
      <w:r>
        <w:t>Leading hypothesis for the inversion</w:t>
      </w:r>
    </w:p>
    <w:p w14:paraId="4DFAA5B4" w14:textId="77777777" w:rsidR="00F66136" w:rsidRDefault="00000000">
      <w:pPr>
        <w:spacing w:after="160" w:line="276" w:lineRule="auto"/>
      </w:pPr>
      <w:r>
        <w:t xml:space="preserve">I can’t see the stake-sizing logic from the accounting, so this needs checking in the code. The most likely mechanism, given the two-ensemble design: a −120 favourite falls inside </w:t>
      </w:r>
      <w:r>
        <w:rPr>
          <w:b/>
          <w:bCs/>
        </w:rPr>
        <w:t>both</w:t>
      </w:r>
      <w:r>
        <w:t xml:space="preserve"> the ±150 and the ±210 ensembles, collects agreement from two ensembles rather than one, clears the top-stake threshold, and gets the $6,000 ticket. In other words, overlapping price bands manufacture false confidence on exactly the favourites that lose. If that’s the cause, the fix lives in the staking rule, not the models.</w:t>
      </w:r>
    </w:p>
    <w:p w14:paraId="23B3D59D" w14:textId="77777777" w:rsidR="00F66136" w:rsidRDefault="00000000">
      <w:pPr>
        <w:pStyle w:val="Heading2"/>
      </w:pPr>
      <w:r>
        <w:t>What to do, in order</w:t>
      </w:r>
    </w:p>
    <w:p w14:paraId="4516BF1A" w14:textId="77777777" w:rsidR="00F66136" w:rsidRDefault="00000000">
      <w:pPr>
        <w:pStyle w:val="ListParagraph"/>
        <w:numPr>
          <w:ilvl w:val="0"/>
          <w:numId w:val="3"/>
        </w:numPr>
        <w:spacing w:after="140" w:line="276" w:lineRule="auto"/>
      </w:pPr>
      <w:r>
        <w:rPr>
          <w:b/>
          <w:bCs/>
        </w:rPr>
        <w:t>Before Ivan resumes — cap or kill the favourite side.</w:t>
      </w:r>
      <w:r>
        <w:t xml:space="preserve"> Minimum-regret: drop the top stake tier on −111 to −130 favourites. Cleaner: stop betting favourites entirely until proven otherwise. No retraining required; it roughly triples the season retrospectively.</w:t>
      </w:r>
    </w:p>
    <w:p w14:paraId="14AE24D6" w14:textId="77777777" w:rsidR="00F66136" w:rsidRDefault="00000000">
      <w:pPr>
        <w:pStyle w:val="ListParagraph"/>
        <w:numPr>
          <w:ilvl w:val="0"/>
          <w:numId w:val="3"/>
        </w:numPr>
        <w:spacing w:after="140" w:line="276" w:lineRule="auto"/>
      </w:pPr>
      <w:r>
        <w:rPr>
          <w:b/>
          <w:bCs/>
        </w:rPr>
        <w:t>Diagnose the confidence-to-stake inversion</w:t>
      </w:r>
      <w:r>
        <w:t xml:space="preserve"> — the real bug. Check whether stake is driven by cross-ensemble agreement and whether agreement runs higher on the losing favourites (the double-counting hypothesis above).</w:t>
      </w:r>
    </w:p>
    <w:p w14:paraId="77C7D7CB" w14:textId="77777777" w:rsidR="00F66136" w:rsidRDefault="00000000">
      <w:pPr>
        <w:pStyle w:val="ListParagraph"/>
        <w:numPr>
          <w:ilvl w:val="0"/>
          <w:numId w:val="3"/>
        </w:numPr>
        <w:spacing w:after="140" w:line="276" w:lineRule="auto"/>
      </w:pPr>
      <w:r>
        <w:rPr>
          <w:b/>
          <w:bCs/>
        </w:rPr>
        <w:t>Do not retrain in response to this.</w:t>
      </w:r>
      <w:r>
        <w:t xml:space="preserve"> It’s a bet-selection and staking failure on top of the models, not a training-data fault. Retraining would bury it.</w:t>
      </w:r>
    </w:p>
    <w:p w14:paraId="48AE6D79" w14:textId="77777777" w:rsidR="00F66136" w:rsidRDefault="00000000">
      <w:pPr>
        <w:pStyle w:val="ListParagraph"/>
        <w:numPr>
          <w:ilvl w:val="0"/>
          <w:numId w:val="3"/>
        </w:numPr>
        <w:spacing w:after="140" w:line="276" w:lineRule="auto"/>
      </w:pPr>
      <w:r>
        <w:rPr>
          <w:b/>
          <w:bCs/>
        </w:rPr>
        <w:t>Make the evaluation pipeline surface this automatically.</w:t>
      </w:r>
      <w:r>
        <w:t xml:space="preserve"> Extend the </w:t>
      </w:r>
      <w:proofErr w:type="spellStart"/>
      <w:r>
        <w:t>sports_roi</w:t>
      </w:r>
      <w:proofErr w:type="spellEnd"/>
      <w:r>
        <w:t xml:space="preserve"> bucket report with a side × price-band × stake-tier panel, so an −$85k favourite book can never </w:t>
      </w:r>
      <w:r>
        <w:lastRenderedPageBreak/>
        <w:t>again hide behind a +$93k dog book. Run the new V119 / V123 candidates through it to confirm they don’t repeat the over-bet-favourites behaviour.</w:t>
      </w:r>
    </w:p>
    <w:p w14:paraId="66AA95FE" w14:textId="77777777" w:rsidR="00F66136" w:rsidRDefault="00000000">
      <w:pPr>
        <w:pStyle w:val="ListParagraph"/>
        <w:numPr>
          <w:ilvl w:val="0"/>
          <w:numId w:val="3"/>
        </w:numPr>
        <w:spacing w:after="140" w:line="276" w:lineRule="auto"/>
      </w:pPr>
      <w:r>
        <w:rPr>
          <w:b/>
          <w:bCs/>
        </w:rPr>
        <w:t>On the ±150 / ±210 split and a possible 150–210 band:</w:t>
      </w:r>
      <w:r>
        <w:t xml:space="preserve"> the data argues against carving a dedicated band — favourites above −150 are barely bet, and the dogs that carried the 151–170 slice (+$55,800 on 20 bets) look like an unrepeatable hot streak. The favourite damage is in the moderate zone the ±150 ensemble already owns.</w:t>
      </w:r>
    </w:p>
    <w:p w14:paraId="394925B6" w14:textId="77777777" w:rsidR="00F66136" w:rsidRDefault="00000000">
      <w:pPr>
        <w:pStyle w:val="ListParagraph"/>
        <w:numPr>
          <w:ilvl w:val="0"/>
          <w:numId w:val="3"/>
        </w:numPr>
        <w:spacing w:after="140" w:line="276" w:lineRule="auto"/>
      </w:pPr>
      <w:r>
        <w:rPr>
          <w:b/>
          <w:bCs/>
        </w:rPr>
        <w:t>This sharpens the V123 / dog-first direction.</w:t>
      </w:r>
      <w:r>
        <w:t xml:space="preserve"> The live edge is unambiguously the dog side — which is what the V119 “10% on dogs” </w:t>
      </w:r>
      <w:proofErr w:type="spellStart"/>
      <w:r>
        <w:t>backtest</w:t>
      </w:r>
      <w:proofErr w:type="spellEnd"/>
      <w:r>
        <w:t xml:space="preserve"> already said. When testing V123, look explicitly at whether removing the current line tames the favourite overconfidence; if it does, that’s a strong independent reason to weight V123 up.</w:t>
      </w:r>
    </w:p>
    <w:p w14:paraId="46389B4C" w14:textId="77777777" w:rsidR="00F66136" w:rsidRDefault="00F66136">
      <w:pPr>
        <w:pBdr>
          <w:top w:val="single" w:sz="6" w:space="6" w:color="1F3A5F"/>
        </w:pBdr>
        <w:spacing w:before="240" w:after="40"/>
      </w:pPr>
    </w:p>
    <w:p w14:paraId="04AA86D5" w14:textId="77777777" w:rsidR="00F66136" w:rsidRDefault="00000000">
      <w:pPr>
        <w:spacing w:line="276" w:lineRule="auto"/>
      </w:pPr>
      <w:r>
        <w:rPr>
          <w:b/>
          <w:bCs/>
        </w:rPr>
        <w:t>Bottom line:</w:t>
      </w:r>
      <w:r>
        <w:t xml:space="preserve"> the binding problem was never V113-vs-V123 model counts, and it wasn’t the data fix. It’s that the legacy system stakes hardest on a bet type it can’t beat. That’s a one-line risk fix today and a staking-logic diagnosis this week — both upstream of any retraining decision.</w:t>
      </w:r>
    </w:p>
    <w:sectPr w:rsidR="00F66136">
      <w:footerReference w:type="even"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8EC5F" w14:textId="77777777" w:rsidR="00816EA4" w:rsidRDefault="00816EA4" w:rsidP="00287E45">
      <w:r>
        <w:separator/>
      </w:r>
    </w:p>
  </w:endnote>
  <w:endnote w:type="continuationSeparator" w:id="0">
    <w:p w14:paraId="589314BF" w14:textId="77777777" w:rsidR="00816EA4" w:rsidRDefault="00816EA4" w:rsidP="00287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1234359"/>
      <w:docPartObj>
        <w:docPartGallery w:val="Page Numbers (Bottom of Page)"/>
        <w:docPartUnique/>
      </w:docPartObj>
    </w:sdtPr>
    <w:sdtContent>
      <w:p w14:paraId="04CB8201" w14:textId="56CB5C8B" w:rsidR="00287E45" w:rsidRDefault="00287E45" w:rsidP="008F65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645D10" w14:textId="77777777" w:rsidR="00287E45" w:rsidRDefault="00287E45" w:rsidP="00287E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1221481"/>
      <w:docPartObj>
        <w:docPartGallery w:val="Page Numbers (Bottom of Page)"/>
        <w:docPartUnique/>
      </w:docPartObj>
    </w:sdtPr>
    <w:sdtContent>
      <w:p w14:paraId="148A73A6" w14:textId="35F5FD65" w:rsidR="00287E45" w:rsidRDefault="00287E45" w:rsidP="008F65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1796F5" w14:textId="77777777" w:rsidR="00287E45" w:rsidRDefault="00287E45" w:rsidP="00287E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57B32" w14:textId="77777777" w:rsidR="00816EA4" w:rsidRDefault="00816EA4" w:rsidP="00287E45">
      <w:r>
        <w:separator/>
      </w:r>
    </w:p>
  </w:footnote>
  <w:footnote w:type="continuationSeparator" w:id="0">
    <w:p w14:paraId="2AAA568C" w14:textId="77777777" w:rsidR="00816EA4" w:rsidRDefault="00816EA4" w:rsidP="00287E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A0093"/>
    <w:multiLevelType w:val="hybridMultilevel"/>
    <w:tmpl w:val="4B42ABD6"/>
    <w:lvl w:ilvl="0" w:tplc="BE729BD4">
      <w:start w:val="1"/>
      <w:numFmt w:val="decimal"/>
      <w:lvlText w:val="%1."/>
      <w:lvlJc w:val="left"/>
      <w:pPr>
        <w:ind w:left="540" w:hanging="320"/>
      </w:pPr>
    </w:lvl>
    <w:lvl w:ilvl="1" w:tplc="9A2631BE">
      <w:numFmt w:val="decimal"/>
      <w:lvlText w:val=""/>
      <w:lvlJc w:val="left"/>
    </w:lvl>
    <w:lvl w:ilvl="2" w:tplc="D5907704">
      <w:numFmt w:val="decimal"/>
      <w:lvlText w:val=""/>
      <w:lvlJc w:val="left"/>
    </w:lvl>
    <w:lvl w:ilvl="3" w:tplc="5E6246D4">
      <w:numFmt w:val="decimal"/>
      <w:lvlText w:val=""/>
      <w:lvlJc w:val="left"/>
    </w:lvl>
    <w:lvl w:ilvl="4" w:tplc="84320BB2">
      <w:numFmt w:val="decimal"/>
      <w:lvlText w:val=""/>
      <w:lvlJc w:val="left"/>
    </w:lvl>
    <w:lvl w:ilvl="5" w:tplc="2128707E">
      <w:numFmt w:val="decimal"/>
      <w:lvlText w:val=""/>
      <w:lvlJc w:val="left"/>
    </w:lvl>
    <w:lvl w:ilvl="6" w:tplc="1280245C">
      <w:numFmt w:val="decimal"/>
      <w:lvlText w:val=""/>
      <w:lvlJc w:val="left"/>
    </w:lvl>
    <w:lvl w:ilvl="7" w:tplc="5C1C368E">
      <w:numFmt w:val="decimal"/>
      <w:lvlText w:val=""/>
      <w:lvlJc w:val="left"/>
    </w:lvl>
    <w:lvl w:ilvl="8" w:tplc="762AB9FC">
      <w:numFmt w:val="decimal"/>
      <w:lvlText w:val=""/>
      <w:lvlJc w:val="left"/>
    </w:lvl>
  </w:abstractNum>
  <w:abstractNum w:abstractNumId="1" w15:restartNumberingAfterBreak="0">
    <w:nsid w:val="61D61B84"/>
    <w:multiLevelType w:val="hybridMultilevel"/>
    <w:tmpl w:val="A27299A6"/>
    <w:lvl w:ilvl="0" w:tplc="F5E029B0">
      <w:start w:val="1"/>
      <w:numFmt w:val="bullet"/>
      <w:lvlText w:val="●"/>
      <w:lvlJc w:val="left"/>
      <w:pPr>
        <w:ind w:left="720" w:hanging="360"/>
      </w:pPr>
    </w:lvl>
    <w:lvl w:ilvl="1" w:tplc="D0781882">
      <w:start w:val="1"/>
      <w:numFmt w:val="bullet"/>
      <w:lvlText w:val="○"/>
      <w:lvlJc w:val="left"/>
      <w:pPr>
        <w:ind w:left="1440" w:hanging="360"/>
      </w:pPr>
    </w:lvl>
    <w:lvl w:ilvl="2" w:tplc="881ABFD0">
      <w:start w:val="1"/>
      <w:numFmt w:val="bullet"/>
      <w:lvlText w:val="■"/>
      <w:lvlJc w:val="left"/>
      <w:pPr>
        <w:ind w:left="2160" w:hanging="360"/>
      </w:pPr>
    </w:lvl>
    <w:lvl w:ilvl="3" w:tplc="02EC8818">
      <w:start w:val="1"/>
      <w:numFmt w:val="bullet"/>
      <w:lvlText w:val="●"/>
      <w:lvlJc w:val="left"/>
      <w:pPr>
        <w:ind w:left="2880" w:hanging="360"/>
      </w:pPr>
    </w:lvl>
    <w:lvl w:ilvl="4" w:tplc="77B0202C">
      <w:start w:val="1"/>
      <w:numFmt w:val="bullet"/>
      <w:lvlText w:val="○"/>
      <w:lvlJc w:val="left"/>
      <w:pPr>
        <w:ind w:left="3600" w:hanging="360"/>
      </w:pPr>
    </w:lvl>
    <w:lvl w:ilvl="5" w:tplc="A2E48CE4">
      <w:start w:val="1"/>
      <w:numFmt w:val="bullet"/>
      <w:lvlText w:val="■"/>
      <w:lvlJc w:val="left"/>
      <w:pPr>
        <w:ind w:left="4320" w:hanging="360"/>
      </w:pPr>
    </w:lvl>
    <w:lvl w:ilvl="6" w:tplc="6E287E24">
      <w:start w:val="1"/>
      <w:numFmt w:val="bullet"/>
      <w:lvlText w:val="●"/>
      <w:lvlJc w:val="left"/>
      <w:pPr>
        <w:ind w:left="5040" w:hanging="360"/>
      </w:pPr>
    </w:lvl>
    <w:lvl w:ilvl="7" w:tplc="A35EB9B6">
      <w:start w:val="1"/>
      <w:numFmt w:val="bullet"/>
      <w:lvlText w:val="●"/>
      <w:lvlJc w:val="left"/>
      <w:pPr>
        <w:ind w:left="5760" w:hanging="360"/>
      </w:pPr>
    </w:lvl>
    <w:lvl w:ilvl="8" w:tplc="07F0CB5C">
      <w:start w:val="1"/>
      <w:numFmt w:val="bullet"/>
      <w:lvlText w:val="●"/>
      <w:lvlJc w:val="left"/>
      <w:pPr>
        <w:ind w:left="6480" w:hanging="360"/>
      </w:pPr>
    </w:lvl>
  </w:abstractNum>
  <w:abstractNum w:abstractNumId="2" w15:restartNumberingAfterBreak="0">
    <w:nsid w:val="78CC05DC"/>
    <w:multiLevelType w:val="hybridMultilevel"/>
    <w:tmpl w:val="F946A2BC"/>
    <w:lvl w:ilvl="0" w:tplc="96DE66C0">
      <w:start w:val="1"/>
      <w:numFmt w:val="bullet"/>
      <w:lvlText w:val="•"/>
      <w:lvlJc w:val="left"/>
      <w:pPr>
        <w:ind w:left="540" w:hanging="280"/>
      </w:pPr>
    </w:lvl>
    <w:lvl w:ilvl="1" w:tplc="5F329B4A">
      <w:numFmt w:val="decimal"/>
      <w:lvlText w:val=""/>
      <w:lvlJc w:val="left"/>
    </w:lvl>
    <w:lvl w:ilvl="2" w:tplc="02C6D624">
      <w:numFmt w:val="decimal"/>
      <w:lvlText w:val=""/>
      <w:lvlJc w:val="left"/>
    </w:lvl>
    <w:lvl w:ilvl="3" w:tplc="9D16EB86">
      <w:numFmt w:val="decimal"/>
      <w:lvlText w:val=""/>
      <w:lvlJc w:val="left"/>
    </w:lvl>
    <w:lvl w:ilvl="4" w:tplc="1430F8F0">
      <w:numFmt w:val="decimal"/>
      <w:lvlText w:val=""/>
      <w:lvlJc w:val="left"/>
    </w:lvl>
    <w:lvl w:ilvl="5" w:tplc="A09C3346">
      <w:numFmt w:val="decimal"/>
      <w:lvlText w:val=""/>
      <w:lvlJc w:val="left"/>
    </w:lvl>
    <w:lvl w:ilvl="6" w:tplc="7634303E">
      <w:numFmt w:val="decimal"/>
      <w:lvlText w:val=""/>
      <w:lvlJc w:val="left"/>
    </w:lvl>
    <w:lvl w:ilvl="7" w:tplc="17962922">
      <w:numFmt w:val="decimal"/>
      <w:lvlText w:val=""/>
      <w:lvlJc w:val="left"/>
    </w:lvl>
    <w:lvl w:ilvl="8" w:tplc="82D4624C">
      <w:numFmt w:val="decimal"/>
      <w:lvlText w:val=""/>
      <w:lvlJc w:val="left"/>
    </w:lvl>
  </w:abstractNum>
  <w:num w:numId="1" w16cid:durableId="717045514">
    <w:abstractNumId w:val="1"/>
    <w:lvlOverride w:ilvl="0">
      <w:startOverride w:val="1"/>
    </w:lvlOverride>
  </w:num>
  <w:num w:numId="2" w16cid:durableId="99765962">
    <w:abstractNumId w:val="2"/>
    <w:lvlOverride w:ilvl="0">
      <w:startOverride w:val="1"/>
    </w:lvlOverride>
  </w:num>
  <w:num w:numId="3" w16cid:durableId="99305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136"/>
    <w:rsid w:val="00287E45"/>
    <w:rsid w:val="00654A6F"/>
    <w:rsid w:val="00816EA4"/>
    <w:rsid w:val="00F661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D424E9"/>
  <w15:docId w15:val="{95353870-AA88-354E-A11A-433FCB62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80" w:after="140"/>
      <w:outlineLvl w:val="1"/>
    </w:pPr>
    <w:rPr>
      <w:b/>
      <w:bCs/>
      <w:color w:val="1F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7E45"/>
    <w:pPr>
      <w:tabs>
        <w:tab w:val="center" w:pos="4513"/>
        <w:tab w:val="right" w:pos="9026"/>
      </w:tabs>
    </w:pPr>
  </w:style>
  <w:style w:type="character" w:customStyle="1" w:styleId="HeaderChar">
    <w:name w:val="Header Char"/>
    <w:basedOn w:val="DefaultParagraphFont"/>
    <w:link w:val="Header"/>
    <w:uiPriority w:val="99"/>
    <w:rsid w:val="00287E45"/>
  </w:style>
  <w:style w:type="paragraph" w:styleId="Footer">
    <w:name w:val="footer"/>
    <w:basedOn w:val="Normal"/>
    <w:link w:val="FooterChar"/>
    <w:uiPriority w:val="99"/>
    <w:unhideWhenUsed/>
    <w:rsid w:val="00287E45"/>
    <w:pPr>
      <w:tabs>
        <w:tab w:val="center" w:pos="4513"/>
        <w:tab w:val="right" w:pos="9026"/>
      </w:tabs>
    </w:pPr>
  </w:style>
  <w:style w:type="character" w:customStyle="1" w:styleId="FooterChar">
    <w:name w:val="Footer Char"/>
    <w:basedOn w:val="DefaultParagraphFont"/>
    <w:link w:val="Footer"/>
    <w:uiPriority w:val="99"/>
    <w:rsid w:val="00287E45"/>
  </w:style>
  <w:style w:type="character" w:styleId="PageNumber">
    <w:name w:val="page number"/>
    <w:basedOn w:val="DefaultParagraphFont"/>
    <w:uiPriority w:val="99"/>
    <w:semiHidden/>
    <w:unhideWhenUsed/>
    <w:rsid w:val="00287E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906</Words>
  <Characters>4517</Characters>
  <Application>Microsoft Office Word</Application>
  <DocSecurity>0</DocSecurity>
  <Lines>96</Lines>
  <Paragraphs>59</Paragraphs>
  <ScaleCrop>false</ScaleCrop>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MLB Scion — June 2026 Diagnosis</dc:title>
  <dc:creator>Perceptronix Ltd</dc:creator>
  <cp:lastModifiedBy>Jon Tepper</cp:lastModifiedBy>
  <cp:revision>2</cp:revision>
  <dcterms:created xsi:type="dcterms:W3CDTF">2026-06-11T15:19:00Z</dcterms:created>
  <dcterms:modified xsi:type="dcterms:W3CDTF">2026-06-11T15:30:00Z</dcterms:modified>
</cp:coreProperties>
</file>