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"/>
      </w:pPr>
      <w:r>
        <w:rPr>
          <w:b/>
          <w:bCs/>
          <w:color w:val="1F3864"/>
          <w:sz w:val="26"/>
          <w:szCs w:val="26"/>
        </w:rPr>
        <w:t xml:space="preserve">Why Our Feature Set Is Sufficient — and Why “Correlates With the Line” Is Not an Edge</w:t>
      </w:r>
    </w:p>
    <w:p>
      <w:pPr>
        <w:pBdr>
          <w:bottom w:val="single" w:color="1F3864" w:sz="6" w:space="4"/>
        </w:pBdr>
        <w:spacing w:after="110"/>
      </w:pPr>
      <w:r>
        <w:rPr>
          <w:color w:val="808080"/>
          <w:sz w:val="16"/>
          <w:szCs w:val="16"/>
        </w:rPr>
        <w:t xml:space="preserve">Market efficiency, our two-model design, and the Infinity (Ivan_BP) variables · MLB Scion · 25 Jun 2026</w:t>
      </w:r>
    </w:p>
    <w:p>
      <w:pPr>
        <w:pStyle w:val="Heading2"/>
        <w:spacing w:after="54" w:before="140"/>
      </w:pPr>
      <w:r>
        <w:t xml:space="preserve">1.  The betting market is highly efficient — the central fact</w:t>
      </w:r>
    </w:p>
    <w:p>
      <w:pPr>
        <w:spacing w:after="96" w:line="248"/>
      </w:pPr>
      <w:r>
        <w:t xml:space="preserve">For the games we bet (lines within ±150), the bookie line already absorbs almost everything knowable about a matchup. The consequence is hard: the *predictable* signal left for </w:t>
      </w:r>
      <w:r>
        <w:rPr>
          <w:b/>
          <w:bCs/>
        </w:rPr>
        <w:t xml:space="preserve">any</w:t>
      </w:r>
      <w:r>
        <w:t xml:space="preserve"> model is intrinsically small. Across the ~1,180 candidate inputs we tested, the most informative single one — the line itself — accounts for </w:t>
      </w:r>
      <w:r>
        <w:rPr>
          <w:b/>
          <w:bCs/>
        </w:rPr>
        <w:t xml:space="preserve">under 1% of the uncertainty</w:t>
      </w:r>
      <w:r>
        <w:t xml:space="preserve"> in who wins; our best baseball statistic, about a third of one percent; every input's effect size is, by the standard statistical yardstick, “negligible.” It is like predicting a coin weighted by one or two percent: the bias is real and bettable, but tiny — and no cleverness in choosing what to measure can create more bias than physically exists.</w:t>
      </w:r>
    </w:p>
    <w:p>
      <w:pPr>
        <w:spacing w:after="96" w:line="248"/>
      </w:pPr>
      <w:r>
        <w:t xml:space="preserve">Two conclusions follow, both reassuring: </w:t>
      </w:r>
      <w:r>
        <w:rPr>
          <w:b/>
          <w:bCs/>
        </w:rPr>
        <w:t xml:space="preserve">our features are not the limitation</w:t>
      </w:r>
      <w:r>
        <w:t xml:space="preserve"> — we already use the strongest signals that exist, so adding more cannot help when there is no strong signal to find; and this is exactly why model accuracy sits near </w:t>
      </w:r>
      <w:r>
        <w:rPr>
          <w:b/>
          <w:bCs/>
        </w:rPr>
        <w:t xml:space="preserve">52–53%</w:t>
      </w:r>
      <w:r>
        <w:t xml:space="preserve"> — close to the natural ceiling, not a shortfall. Profit comes from being right slightly more often than the price implies in the right situations and sizing bets well — not from a high accuracy the market makes impossible.</w:t>
      </w:r>
    </w:p>
    <w:p>
      <w:pPr>
        <w:pStyle w:val="Heading2"/>
        <w:spacing w:after="54" w:before="140"/>
      </w:pPr>
      <w:r>
        <w:t xml:space="preserve">2.  Our two strongest features</w:t>
      </w:r>
    </w:p>
    <w:p>
      <w:pPr>
        <w:pStyle w:val="ListParagraph"/>
        <w:numPr>
          <w:ilvl w:val="0"/>
          <w:numId w:val="2"/>
        </w:numPr>
        <w:spacing w:after="60" w:line="246"/>
      </w:pPr>
      <w:r>
        <w:rPr>
          <w:b/>
          <w:bCs/>
        </w:rPr>
        <w:t xml:space="preserve">The bookie line</w:t>
      </w:r>
      <w:r>
        <w:t xml:space="preserve"> (home implied probability) — the market's own price, and our single most informative input (association with the result ~0.10 on a −1…+1 scale). It is strong because it aggregates the collective information of the entire market.</w:t>
      </w:r>
    </w:p>
    <w:p>
      <w:pPr>
        <w:pStyle w:val="ListParagraph"/>
        <w:numPr>
          <w:ilvl w:val="0"/>
          <w:numId w:val="2"/>
        </w:numPr>
        <w:spacing w:after="60" w:line="246"/>
      </w:pPr>
      <w:r>
        <w:rPr>
          <w:b/>
          <w:bCs/>
        </w:rPr>
        <w:t xml:space="preserve">MenOnBase_Strength (season-to-date)</w:t>
      </w:r>
      <w:r>
        <w:t xml:space="preserve"> — our best engineered statistic: how reliably a team gets runners on base. Of all ~1,170 non-line inputs it ranks </w:t>
      </w:r>
      <w:r>
        <w:rPr>
          <w:b/>
          <w:bCs/>
        </w:rPr>
        <w:t xml:space="preserve">#1</w:t>
      </w:r>
      <w:r>
        <w:t xml:space="preserve"> by association with the actual result (~0.058 — modest in absolute terms, the hallmark of an efficient market, but the best clean signal we have). It does move with the line (~0.50 on a 0–1 scale) — unsurprising, since good offences get favourable prices — but </w:t>
      </w:r>
      <w:r>
        <w:rPr>
          <w:b/>
          <w:bCs/>
        </w:rPr>
        <w:t xml:space="preserve">we built it ourselves from box-score data, so we know exactly what it is, that it carries no line information, and that it cannot leak.</w:t>
      </w:r>
      <w:r>
        <w:t xml:space="preserve"> That auditability is what makes it trustworthy.</w:t>
      </w:r>
    </w:p>
    <w:p>
      <w:pPr>
        <w:pStyle w:val="Heading2"/>
        <w:spacing w:after="54" w:before="140"/>
      </w:pPr>
      <w:r>
        <w:t xml:space="preserve">3.  Why we run two models, not one</w:t>
      </w:r>
    </w:p>
    <w:p>
      <w:pPr>
        <w:spacing w:after="96" w:line="248"/>
      </w:pPr>
      <w:r>
        <w:rPr>
          <w:b/>
          <w:bCs/>
        </w:rPr>
        <w:t xml:space="preserve">LineStats (V119)</w:t>
      </w:r>
      <w:r>
        <w:t xml:space="preserve"> uses the line plus statistics — anchored to the market consensus. </w:t>
      </w:r>
      <w:r>
        <w:rPr>
          <w:b/>
          <w:bCs/>
        </w:rPr>
        <w:t xml:space="preserve">StatsOnly (V123)</w:t>
      </w:r>
      <w:r>
        <w:t xml:space="preserve"> is deliberately blind to the line — built from baseball statistics only. When a market-anchored model and a market-blind model independently agree, that agreement is far more trustworthy than either alone — like two independent diagnostic methods reaching the same conclusion. We keep StatsOnly genuinely line-free precisely so its agreement is real confirmation, not an echo of the price.</w:t>
      </w:r>
    </w:p>
    <w:p>
      <w:pPr>
        <w:pStyle w:val="Heading2"/>
        <w:spacing w:after="54" w:before="140"/>
      </w:pPr>
      <w:r>
        <w:t xml:space="preserve">4.  Why the Infinity / Ivan_BP variables are high-risk — not an edge</w:t>
      </w:r>
    </w:p>
    <w:p>
      <w:pPr>
        <w:spacing w:after="96" w:line="248"/>
      </w:pPr>
      <w:r>
        <w:t xml:space="preserve">It is natural to see a strong correlation with the line and read it as value. In predictive modelling it is the </w:t>
      </w:r>
      <w:r>
        <w:rPr>
          <w:b/>
          <w:bCs/>
        </w:rPr>
        <w:t xml:space="preserve">opposite</w:t>
      </w:r>
      <w:r>
        <w:t xml:space="preserve">. Measured against the bookie line, the four Infinity variables move with it strongly: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720"/>
      </w:tblGrid>
      <w:tr>
        <w:trPr>
          <w:tblHeader/>
        </w:trPr>
        <w:tc>
          <w:tcPr>
            <w:tcW w:type="dxa" w:w="5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42"/>
              <w:left w:type="dxa" w:w="110"/>
              <w:bottom w:type="dxa" w:w="42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b/>
                <w:bCs/>
              </w:rPr>
              <w:t xml:space="preserve">Infinity (Ivan_BP) variable</w:t>
            </w:r>
          </w:p>
        </w:tc>
        <w:tc>
          <w:tcPr>
            <w:tcW w:type="dxa" w:w="37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1F3864" w:val="clear"/>
            <w:tcMar>
              <w:top w:type="dxa" w:w="42"/>
              <w:left w:type="dxa" w:w="110"/>
              <w:bottom w:type="dxa" w:w="42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</w:rPr>
              <w:t xml:space="preserve">Correlation with the bookie line *</w:t>
            </w:r>
          </w:p>
        </w:tc>
      </w:tr>
      <w:tr>
        <w:tc>
          <w:tcPr>
            <w:tcW w:type="dxa" w:w="5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val="clear"/>
            <w:tcMar>
              <w:top w:type="dxa" w:w="42"/>
              <w:left w:type="dxa" w:w="110"/>
              <w:bottom w:type="dxa" w:w="42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</w:rPr>
              <w:t xml:space="preserve">G_Ivan_BP_NoLineProbability</w:t>
            </w:r>
          </w:p>
        </w:tc>
        <w:tc>
          <w:tcPr>
            <w:tcW w:type="dxa" w:w="37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FFF2CC" w:val="clear"/>
            <w:tcMar>
              <w:top w:type="dxa" w:w="42"/>
              <w:left w:type="dxa" w:w="110"/>
              <w:bottom w:type="dxa" w:w="42"/>
              <w:right w:type="dxa" w:w="110"/>
            </w:tcMar>
          </w:tcPr>
          <w:p>
            <w:pPr>
              <w:spacing w:after="0" w:line="240"/>
              <w:jc w:val="center"/>
            </w:pPr>
            <w:r>
              <w:rPr>
                <w:b/>
                <w:bCs/>
              </w:rPr>
              <w:t xml:space="preserve">≈ 0.70</w:t>
            </w:r>
          </w:p>
        </w:tc>
      </w:tr>
      <w:tr>
        <w:tc>
          <w:tcPr>
            <w:tcW w:type="dxa" w:w="5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EF2F8" w:val="clear"/>
            <w:tcMar>
              <w:top w:type="dxa" w:w="42"/>
              <w:left w:type="dxa" w:w="110"/>
              <w:bottom w:type="dxa" w:w="42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</w:rPr>
              <w:t xml:space="preserve">G_Ivan_BP_DefenseProbability</w:t>
            </w:r>
          </w:p>
        </w:tc>
        <w:tc>
          <w:tcPr>
            <w:tcW w:type="dxa" w:w="37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EF2F8" w:val="clear"/>
            <w:tcMar>
              <w:top w:type="dxa" w:w="42"/>
              <w:left w:type="dxa" w:w="110"/>
              <w:bottom w:type="dxa" w:w="42"/>
              <w:right w:type="dxa" w:w="110"/>
            </w:tcMar>
          </w:tcPr>
          <w:p>
            <w:pPr>
              <w:spacing w:after="0" w:line="240"/>
              <w:jc w:val="center"/>
            </w:pPr>
            <w:r>
              <w:t xml:space="preserve">≈ 0.63</w:t>
            </w:r>
          </w:p>
        </w:tc>
      </w:tr>
      <w:tr>
        <w:tc>
          <w:tcPr>
            <w:tcW w:type="dxa" w:w="5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42"/>
              <w:left w:type="dxa" w:w="110"/>
              <w:bottom w:type="dxa" w:w="42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</w:rPr>
              <w:t xml:space="preserve">G_Ivan_BP_OffenseProbability</w:t>
            </w:r>
          </w:p>
        </w:tc>
        <w:tc>
          <w:tcPr>
            <w:tcW w:type="dxa" w:w="37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42"/>
              <w:left w:type="dxa" w:w="110"/>
              <w:bottom w:type="dxa" w:w="42"/>
              <w:right w:type="dxa" w:w="110"/>
            </w:tcMar>
          </w:tcPr>
          <w:p>
            <w:pPr>
              <w:spacing w:after="0" w:line="240"/>
              <w:jc w:val="center"/>
            </w:pPr>
            <w:r>
              <w:t xml:space="preserve">≈ 0.59</w:t>
            </w:r>
          </w:p>
        </w:tc>
      </w:tr>
      <w:tr>
        <w:tc>
          <w:tcPr>
            <w:tcW w:type="dxa" w:w="5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EF2F8" w:val="clear"/>
            <w:tcMar>
              <w:top w:type="dxa" w:w="42"/>
              <w:left w:type="dxa" w:w="110"/>
              <w:bottom w:type="dxa" w:w="42"/>
              <w:right w:type="dxa" w:w="110"/>
            </w:tcMar>
          </w:tcPr>
          <w:p>
            <w:pPr>
              <w:spacing w:after="0" w:line="240"/>
              <w:jc w:val="left"/>
            </w:pPr>
            <w:r>
              <w:rPr>
                <w:rFonts w:ascii="Consolas" w:cs="Consolas" w:eastAsia="Consolas" w:hAnsi="Consolas"/>
              </w:rPr>
              <w:t xml:space="preserve">G_Ivan_BP_NullProbability</w:t>
            </w:r>
          </w:p>
        </w:tc>
        <w:tc>
          <w:tcPr>
            <w:tcW w:type="dxa" w:w="372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EEF2F8" w:val="clear"/>
            <w:tcMar>
              <w:top w:type="dxa" w:w="42"/>
              <w:left w:type="dxa" w:w="110"/>
              <w:bottom w:type="dxa" w:w="42"/>
              <w:right w:type="dxa" w:w="110"/>
            </w:tcMar>
          </w:tcPr>
          <w:p>
            <w:pPr>
              <w:spacing w:after="0" w:line="240"/>
              <w:jc w:val="center"/>
            </w:pPr>
            <w:r>
              <w:t xml:space="preserve">≈ 0.53</w:t>
            </w:r>
          </w:p>
        </w:tc>
      </w:tr>
    </w:tbl>
    <w:p>
      <w:pPr>
        <w:spacing w:after="110" w:before="30"/>
      </w:pPr>
      <w:r>
        <w:rPr>
          <w:i/>
          <w:iCs/>
          <w:color w:val="595959"/>
          <w:sz w:val="16"/>
          <w:szCs w:val="16"/>
        </w:rPr>
        <w:t xml:space="preserve">* Spearman rank-correlation magnitude (0 = unrelated, 1 = identical), vs the bookie moneyline. The four are also 0.45–0.86 correlated with each other — i.e. variations on one Infinity output, not four independent signals.</w:t>
      </w:r>
    </w:p>
    <w:p>
      <w:pPr>
        <w:spacing w:after="96" w:line="248"/>
      </w:pPr>
      <w:r>
        <w:rPr>
          <w:b/>
          <w:bCs/>
        </w:rPr>
        <w:t xml:space="preserve">The “NoLine” paradox. </w:t>
      </w:r>
      <w:r>
        <w:t xml:space="preserve">The variable named </w:t>
      </w:r>
      <w:r>
        <w:rPr>
          <w:rFonts w:ascii="Consolas" w:cs="Consolas" w:eastAsia="Consolas" w:hAnsi="Consolas"/>
          <w:color w:val="9C27B0"/>
        </w:rPr>
        <w:t xml:space="preserve">NoLineProbability</w:t>
      </w:r>
      <w:r>
        <w:t xml:space="preserve"> — the one that, by its name, contains *no* line — is the </w:t>
      </w:r>
      <w:r>
        <w:rPr>
          <w:b/>
          <w:bCs/>
        </w:rPr>
        <w:t xml:space="preserve">most line-correlated of the four (~0.70).</w:t>
      </w:r>
      <w:r>
        <w:t xml:space="preserve"> Only two explanations are possible, and we cannot tell which: either Infinity's internal strength model tracks the market so closely that it simply re-derives the line (so it is a redundant copy of a feature we already hold directly, with </w:t>
      </w:r>
      <w:r>
        <w:rPr>
          <w:b/>
          <w:bCs/>
        </w:rPr>
        <w:t xml:space="preserve">no edge</w:t>
      </w:r>
      <w:r>
        <w:t xml:space="preserve">), or the “NoLine” label does not mean what it says and line information is inside it after all (so it is </w:t>
      </w:r>
      <w:r>
        <w:rPr>
          <w:b/>
          <w:bCs/>
        </w:rPr>
        <w:t xml:space="preserve">circular</w:t>
      </w:r>
      <w:r>
        <w:t xml:space="preserve"> — predicting the line from the line). Because we hold only compiled binaries of Infinity, we can never resolve this. The unknowability itself is the risk.</w:t>
      </w:r>
    </w:p>
    <w:p>
      <w:pPr>
        <w:spacing w:after="96" w:line="248"/>
      </w:pPr>
      <w:r>
        <w:rPr>
          <w:b/>
          <w:bCs/>
        </w:rPr>
        <w:t xml:space="preserve">Correlation with the line is not the problem — auditability is. </w:t>
      </w:r>
      <w:r>
        <w:t xml:space="preserve">Our own MenOnBase moves with the line about as much (~0.50), and that is fine, because we can prove it is a clean stat reflecting team quality. With a black box we can prove nothing: an identical-looking 0.5–0.7 could be benign team-quality overlap </w:t>
      </w:r>
      <w:r>
        <w:rPr>
          <w:b/>
          <w:bCs/>
        </w:rPr>
        <w:t xml:space="preserve">or</w:t>
      </w:r>
      <w:r>
        <w:t xml:space="preserve"> the line leaking in (possibly the *closing* line, known only just before a game), and we have no way to distinguish them. A high, unexplained correlation from an un-inspectable, un-reproducible source is therefore a </w:t>
      </w:r>
      <w:r>
        <w:rPr>
          <w:b/>
          <w:bCs/>
        </w:rPr>
        <w:t xml:space="preserve">red flag, not reassurance</w:t>
      </w:r>
      <w:r>
        <w:t xml:space="preserve"> — and a core input we cannot audit or repair degrades silently if Infinity ever changes.</w:t>
      </w:r>
    </w:p>
    <w:p>
      <w:pPr>
        <w:spacing w:after="0" w:line="248"/>
      </w:pPr>
      <w:r>
        <w:rPr>
          <w:b/>
          <w:bCs/>
        </w:rPr>
        <w:t xml:space="preserve">Bottom line: </w:t>
      </w:r>
      <w:r>
        <w:t xml:space="preserve">a strong correlation with the line is evidence of duplication or possible circularity, </w:t>
      </w:r>
      <w:r>
        <w:rPr>
          <w:b/>
          <w:bCs/>
        </w:rPr>
        <w:t xml:space="preserve">not</w:t>
      </w:r>
      <w:r>
        <w:t xml:space="preserve"> of edge. Genuine edge can only come from signal the line lacks — which is why the trustworthy signals are the ones we compute and can audit ourselves, and why we keep a model that is independent of the line.</w:t>
      </w:r>
    </w:p>
    <w:sectPr>
      <w:footerReference w:type="default" r:id="rId7"/>
      <w:pgSz w:w="12240" w:h="15840" w:orient="portrait"/>
      <w:pgMar w:top="1000" w:right="1440" w:bottom="9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120"/>
      </w:tabs>
    </w:pPr>
    <w:r>
      <w:rPr>
        <w:color w:val="808080"/>
        <w:sz w:val="15"/>
        <w:szCs w:val="15"/>
      </w:rPr>
      <w:t xml:space="preserve">MLB Scion — Market efficiency &amp; feature sufficiency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54" w:before="140"/>
      <w:outlineLvl w:val="1"/>
    </w:pPr>
    <w:rPr>
      <w:rFonts w:ascii="Calibri" w:cs="Calibri" w:eastAsia="Calibri" w:hAnsi="Calibri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Perceptronix</dc:creator>
  <cp:lastModifiedBy>Un-named</cp:lastModifiedBy>
  <cp:revision>1</cp:revision>
  <dcterms:created xsi:type="dcterms:W3CDTF">2026-06-25T16:22:20.513Z</dcterms:created>
  <dcterms:modified xsi:type="dcterms:W3CDTF">2026-06-25T16:22:20.525Z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