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75"/>
        <w:gridCol w:w="961"/>
        <w:gridCol w:w="1927"/>
        <w:gridCol w:w="655"/>
        <w:gridCol w:w="985"/>
        <w:gridCol w:w="839"/>
        <w:gridCol w:w="1818"/>
        <w:gridCol w:w="1291"/>
      </w:tblGrid>
      <w:tr>
        <w:trPr>
          <w:trHeight w:val="617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Variation in Note Features in Series by Male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frog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CVw (%)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0.0002988558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0.0002471073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0.0001893391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0.0538374150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0.0391441166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0.0007878062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0.0569676242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97.33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0.0573712227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103.84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0.0116780190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0.0006805463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0.0003217824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0.0007921947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0.0095012091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0.0005567687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0.0851903771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87.79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0.0853611505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95.95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0.0005795644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0.0004738742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0.0327718490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0.0002350068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0.0288979246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0.0007890771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0.0413354599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81.02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0.0417253368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87.47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0.0067395549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0.0008290839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0.0007705166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0.0003029447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0.0013617449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28.45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0.0840849637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85.43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0.0847739172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90.53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0.0016559790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0.0014685764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0.0003685416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0.1356192975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0.1485381843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0.0030794412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0.1670813536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99.53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0.1673342680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106.37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0.0583593012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0.0023040906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0.0004377040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0.0024842712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0.0526755450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0.0026349980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0.2513986534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109.36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0.2523879201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116.25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0.0004267645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0.0006349031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0.0273976462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0.0002829574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0.0006751215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0.0426970390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0.0970650665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107.42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0.0973756310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113.51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0.0158852833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0.0010803358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0.0014860327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0.0006270544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0.0777045915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0.0022523759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0.2664084327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111.29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0.2674557406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119.79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0.0101508493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0.0017685646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0.0004609772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0.0016968342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0.0084658056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0.0009299708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0.1896178151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89.18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0.1901591870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0.0013715360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0.0051153586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0.0060548432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0.0057421875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0.0035501174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0.4041500123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115.15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0.4059424063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122.38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0.0120795809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0.0005026066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0.0042662090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0.0039397286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0.0347827691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0.0015071984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0.1350797038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86.37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0.1358441014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92.96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0.0223178040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0.0009717413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0.0009948472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0.0005662376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0.0024484770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0.0004834313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0.1469149340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93.16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0.1470109936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0.0046257124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0.0008373272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0.0002182394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0.0007669981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0.0093587671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0.0005992884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0.0895979865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104.17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0.0897593859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111.53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2026-07-08T12:18:34Z</dcterms:modified>
  <cp:category/>
</cp:coreProperties>
</file>