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BB2F1" w14:textId="77777777" w:rsidR="00A136FD" w:rsidRPr="002E092F" w:rsidRDefault="00A136FD" w:rsidP="00A136FD">
      <w:pPr>
        <w:pStyle w:val="Heading1"/>
        <w:spacing w:line="480" w:lineRule="auto"/>
        <w:rPr>
          <w:rFonts w:ascii="Arial" w:hAnsi="Arial" w:cs="Arial"/>
          <w:b/>
          <w:bCs/>
          <w:color w:val="auto"/>
        </w:rPr>
      </w:pPr>
      <w:bookmarkStart w:id="0" w:name="_Toc238200655"/>
      <w:r w:rsidRPr="002E092F">
        <w:rPr>
          <w:rFonts w:ascii="Arial" w:hAnsi="Arial" w:cs="Arial"/>
          <w:b/>
          <w:bCs/>
          <w:color w:val="auto"/>
        </w:rPr>
        <w:t>ABSTRACT</w:t>
      </w:r>
      <w:bookmarkEnd w:id="0"/>
    </w:p>
    <w:p w14:paraId="464C7ABA" w14:textId="77777777" w:rsidR="00A136FD" w:rsidRPr="001F4683" w:rsidRDefault="00A136FD" w:rsidP="00A136FD">
      <w:pPr>
        <w:pStyle w:val="NormalWeb"/>
        <w:spacing w:before="0" w:beforeAutospacing="0" w:line="480" w:lineRule="auto"/>
        <w:jc w:val="both"/>
        <w:rPr>
          <w:rFonts w:ascii="Arial" w:hAnsi="Arial" w:cs="Arial"/>
          <w:sz w:val="22"/>
          <w:szCs w:val="22"/>
        </w:rPr>
      </w:pPr>
      <w:r w:rsidRPr="001F4683">
        <w:rPr>
          <w:rFonts w:ascii="Arial" w:hAnsi="Arial" w:cs="Arial"/>
          <w:sz w:val="22"/>
          <w:szCs w:val="22"/>
        </w:rPr>
        <w:t xml:space="preserve">Skeletal muscle tissue engineering and </w:t>
      </w:r>
      <w:r w:rsidRPr="001F4683">
        <w:rPr>
          <w:rFonts w:ascii="Arial" w:hAnsi="Arial" w:cs="Arial"/>
          <w:i/>
          <w:iCs/>
          <w:sz w:val="22"/>
          <w:szCs w:val="22"/>
        </w:rPr>
        <w:t>in vitro</w:t>
      </w:r>
      <w:r w:rsidRPr="001F4683">
        <w:rPr>
          <w:rFonts w:ascii="Arial" w:hAnsi="Arial" w:cs="Arial"/>
          <w:sz w:val="22"/>
          <w:szCs w:val="22"/>
        </w:rPr>
        <w:t xml:space="preserve"> disease modelling rely heavily on generating homogeneous, structurally aligned myotubes from pluripotent stem cells. However, conventional direct </w:t>
      </w:r>
      <w:proofErr w:type="spellStart"/>
      <w:r w:rsidRPr="001F4683">
        <w:rPr>
          <w:rFonts w:ascii="Arial" w:hAnsi="Arial" w:cs="Arial"/>
          <w:sz w:val="22"/>
          <w:szCs w:val="22"/>
        </w:rPr>
        <w:t>MyoD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-driven </w:t>
      </w:r>
      <w:proofErr w:type="spellStart"/>
      <w:r w:rsidRPr="001F4683">
        <w:rPr>
          <w:rFonts w:ascii="Arial" w:hAnsi="Arial" w:cs="Arial"/>
          <w:sz w:val="22"/>
          <w:szCs w:val="22"/>
        </w:rPr>
        <w:t>transdifferentiation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protocols suffer from batch-to-batch variability, asynchronous development, and incomplete epigenetic remodelling. To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address these limitations</w:t>
      </w:r>
      <w:r w:rsidRPr="001F4683">
        <w:rPr>
          <w:rFonts w:ascii="Arial" w:hAnsi="Arial" w:cs="Arial"/>
          <w:sz w:val="22"/>
          <w:szCs w:val="22"/>
        </w:rPr>
        <w:t>, the present study refined and validated an optimized mouse embryonic stem cell (</w:t>
      </w:r>
      <w:proofErr w:type="spellStart"/>
      <w:r w:rsidRPr="001F4683">
        <w:rPr>
          <w:rFonts w:ascii="Arial" w:hAnsi="Arial" w:cs="Arial"/>
          <w:sz w:val="22"/>
          <w:szCs w:val="22"/>
        </w:rPr>
        <w:t>mESC</w:t>
      </w:r>
      <w:proofErr w:type="spellEnd"/>
      <w:r w:rsidRPr="001F4683">
        <w:rPr>
          <w:rFonts w:ascii="Arial" w:hAnsi="Arial" w:cs="Arial"/>
          <w:sz w:val="22"/>
          <w:szCs w:val="22"/>
        </w:rPr>
        <w:t>) myogenic differentiation protocol.</w:t>
      </w:r>
      <w:r w:rsidRPr="001F4683">
        <w:rPr>
          <w:rStyle w:val="inqyif"/>
          <w:rFonts w:ascii="Arial" w:hAnsi="Arial" w:cs="Arial"/>
          <w:sz w:val="22"/>
          <w:szCs w:val="22"/>
        </w:rPr>
        <w:t xml:space="preserve"> Myotubes were target-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immunostained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Fonts w:ascii="Arial" w:hAnsi="Arial" w:cs="Arial"/>
          <w:sz w:val="22"/>
          <w:szCs w:val="22"/>
        </w:rPr>
        <w:t>for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actin and myosin</w:t>
      </w:r>
      <w:r w:rsidRPr="001F4683">
        <w:rPr>
          <w:rFonts w:ascii="Arial" w:hAnsi="Arial" w:cs="Arial"/>
          <w:sz w:val="22"/>
          <w:szCs w:val="22"/>
        </w:rPr>
        <w:t xml:space="preserve"> and subsequently imaged via </w:t>
      </w:r>
      <w:r w:rsidRPr="001F4683">
        <w:rPr>
          <w:rStyle w:val="Strong"/>
          <w:rFonts w:ascii="Arial" w:hAnsi="Arial" w:cs="Arial"/>
          <w:b w:val="0"/>
          <w:bCs w:val="0"/>
          <w:sz w:val="22"/>
          <w:szCs w:val="22"/>
        </w:rPr>
        <w:t>confocal microscopy</w:t>
      </w:r>
      <w:r w:rsidRPr="001F4683">
        <w:rPr>
          <w:rFonts w:ascii="Arial" w:hAnsi="Arial" w:cs="Arial"/>
          <w:sz w:val="22"/>
          <w:szCs w:val="22"/>
        </w:rPr>
        <w:t xml:space="preserve"> to assess sarcomere assembly. The optimized protocol integrates 3D embryoid body (EB) formation constrained to an optimal diameter range of 200–400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>m via controlled seeding density (</w:t>
      </w:r>
      <m:oMath>
        <m:r>
          <w:rPr>
            <w:rFonts w:ascii="Cambria Math" w:hAnsi="Cambria Math" w:cs="Arial"/>
            <w:sz w:val="22"/>
            <w:szCs w:val="22"/>
          </w:rPr>
          <m:t>3×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4</m:t>
            </m:r>
          </m:sup>
        </m:sSup>
      </m:oMath>
      <w:r w:rsidRPr="001F4683">
        <w:rPr>
          <w:rFonts w:ascii="Arial" w:hAnsi="Arial" w:cs="Arial"/>
          <w:sz w:val="22"/>
          <w:szCs w:val="22"/>
        </w:rPr>
        <w:t xml:space="preserve"> cells/well), small-molecule TGF-</w:t>
      </w:r>
      <m:oMath>
        <m:r>
          <w:rPr>
            <w:rFonts w:ascii="Cambria Math" w:hAnsi="Cambria Math" w:cs="Arial"/>
            <w:sz w:val="22"/>
            <w:szCs w:val="22"/>
          </w:rPr>
          <m:t>β</m:t>
        </m:r>
      </m:oMath>
      <w:r w:rsidRPr="001F4683">
        <w:rPr>
          <w:rFonts w:ascii="Arial" w:hAnsi="Arial" w:cs="Arial"/>
          <w:sz w:val="22"/>
          <w:szCs w:val="22"/>
        </w:rPr>
        <w:t xml:space="preserve"> inhibition (SB431542, 10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>M) during MyoD induction, and high-density single-cell progenitor re-plating (</w:t>
      </w:r>
      <m:oMath>
        <m:r>
          <w:rPr>
            <w:rFonts w:ascii="Cambria Math" w:hAnsi="Cambria Math" w:cs="Arial"/>
            <w:sz w:val="22"/>
            <w:szCs w:val="22"/>
          </w:rPr>
          <m:t>1</m:t>
        </m:r>
        <m:r>
          <m:rPr>
            <m:nor/>
          </m:rPr>
          <w:rPr>
            <w:rFonts w:ascii="Arial" w:hAnsi="Arial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5×</m:t>
        </m:r>
        <m:sSup>
          <m:sSupPr>
            <m:ctrlPr>
              <w:rPr>
                <w:rFonts w:ascii="Cambria Math" w:hAnsi="Cambria Math" w:cs="Arial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5</m:t>
            </m:r>
          </m:sup>
        </m:sSup>
      </m:oMath>
      <w:r w:rsidRPr="001F4683">
        <w:rPr>
          <w:rFonts w:ascii="Arial" w:hAnsi="Arial" w:cs="Arial"/>
          <w:sz w:val="22"/>
          <w:szCs w:val="22"/>
        </w:rPr>
        <w:t xml:space="preserve"> cells/well). Morphometric tracking confirmed a synchronized transition from proliferating stem cells (doubling time: ~16 hours) to multinucleated myotubes, characterized by a decrease in circularity (0.71 to 0.18) and a continuous increase in aspect ratio (1.64 to 2.51) by Day 9. To evaluate translational </w:t>
      </w:r>
      <w:r>
        <w:rPr>
          <w:rFonts w:ascii="Arial" w:hAnsi="Arial" w:cs="Arial"/>
          <w:sz w:val="22"/>
          <w:szCs w:val="22"/>
        </w:rPr>
        <w:t>models</w:t>
      </w:r>
      <w:r w:rsidRPr="001F4683">
        <w:rPr>
          <w:rFonts w:ascii="Arial" w:hAnsi="Arial" w:cs="Arial"/>
          <w:sz w:val="22"/>
          <w:szCs w:val="22"/>
        </w:rPr>
        <w:t xml:space="preserve"> for metabolic research, GLUT4-overexpressing </w:t>
      </w:r>
      <w:proofErr w:type="spellStart"/>
      <w:r w:rsidRPr="001F4683">
        <w:rPr>
          <w:rFonts w:ascii="Arial" w:hAnsi="Arial" w:cs="Arial"/>
          <w:sz w:val="22"/>
          <w:szCs w:val="22"/>
        </w:rPr>
        <w:t>mESC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lines (GLUT4-medium vs. GLUT4-high) were benchmarked. While overall fusion indices did not differ significantly between lines (</w:t>
      </w:r>
      <m:oMath>
        <m:r>
          <w:rPr>
            <w:rFonts w:ascii="Cambria Math" w:hAnsi="Cambria Math" w:cs="Arial"/>
            <w:sz w:val="22"/>
            <w:szCs w:val="22"/>
          </w:rPr>
          <m:t>p=0.365</m:t>
        </m:r>
      </m:oMath>
      <w:r w:rsidRPr="001F4683">
        <w:rPr>
          <w:rFonts w:ascii="Arial" w:hAnsi="Arial" w:cs="Arial"/>
          <w:sz w:val="22"/>
          <w:szCs w:val="22"/>
        </w:rPr>
        <w:t>), GLUT4-high expression significantly impeded late-stage fusion (</w:t>
      </w:r>
      <m:oMath>
        <m:r>
          <w:rPr>
            <w:rFonts w:ascii="Cambria Math" w:hAnsi="Cambria Math" w:cs="Arial"/>
            <w:sz w:val="22"/>
            <w:szCs w:val="22"/>
          </w:rPr>
          <m:t>≥3</m:t>
        </m:r>
      </m:oMath>
      <w:r w:rsidRPr="001F4683">
        <w:rPr>
          <w:rFonts w:ascii="Arial" w:hAnsi="Arial" w:cs="Arial"/>
          <w:sz w:val="22"/>
          <w:szCs w:val="22"/>
        </w:rPr>
        <w:t xml:space="preserve"> nuclei: 38.0% vs. 72.5% in GLUT4-medium), driving compensatory cellular hypertrophy and increased structural width heterogeneity. Substrate comparison study demonstrated that biobased elastomeric nanofiber scaffolds provided critical topographical contact guidance, imposing anisotropic alignment confirmed via </w:t>
      </w:r>
      <w:proofErr w:type="spellStart"/>
      <w:r w:rsidRPr="001F4683">
        <w:rPr>
          <w:rFonts w:ascii="Arial" w:hAnsi="Arial" w:cs="Arial"/>
          <w:sz w:val="22"/>
          <w:szCs w:val="22"/>
        </w:rPr>
        <w:t>2D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Fast Fourier Transform (FFT) orientation analysis. Functionally, </w:t>
      </w:r>
      <w:proofErr w:type="spellStart"/>
      <w:r w:rsidRPr="001F4683">
        <w:rPr>
          <w:rFonts w:ascii="Arial" w:hAnsi="Arial" w:cs="Arial"/>
          <w:sz w:val="22"/>
          <w:szCs w:val="22"/>
        </w:rPr>
        <w:t>optogenetically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stimulated </w:t>
      </w:r>
      <w:proofErr w:type="spellStart"/>
      <w:r w:rsidRPr="001F4683">
        <w:rPr>
          <w:rFonts w:ascii="Arial" w:hAnsi="Arial" w:cs="Arial"/>
          <w:sz w:val="22"/>
          <w:szCs w:val="22"/>
        </w:rPr>
        <w:t>ChR2-iMyoD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myotubes on aligned scaffolds displayed a 4.4</w:t>
      </w:r>
      <w:r>
        <w:rPr>
          <w:rFonts w:ascii="Arial" w:hAnsi="Arial" w:cs="Arial"/>
          <w:sz w:val="22"/>
          <w:szCs w:val="22"/>
        </w:rPr>
        <w:t>-fold</w:t>
      </w:r>
      <w:r w:rsidRPr="001F4683">
        <w:rPr>
          <w:rFonts w:ascii="Arial" w:hAnsi="Arial" w:cs="Arial"/>
          <w:sz w:val="22"/>
          <w:szCs w:val="22"/>
        </w:rPr>
        <w:t xml:space="preserve"> increase in peak contraction velocity (~2.2 pixels/frame) compared to the weak, asynchronous twitching of isotropic</w:t>
      </w:r>
      <w:r>
        <w:rPr>
          <w:rFonts w:ascii="Arial" w:hAnsi="Arial" w:cs="Arial"/>
          <w:sz w:val="22"/>
          <w:szCs w:val="22"/>
        </w:rPr>
        <w:t>,</w:t>
      </w:r>
      <w:r w:rsidRPr="001F4683">
        <w:rPr>
          <w:rFonts w:ascii="Arial" w:hAnsi="Arial" w:cs="Arial"/>
          <w:sz w:val="22"/>
          <w:szCs w:val="22"/>
        </w:rPr>
        <w:t xml:space="preserve"> non-scaffold </w:t>
      </w:r>
      <w:proofErr w:type="spellStart"/>
      <w:r w:rsidRPr="001F4683">
        <w:rPr>
          <w:rFonts w:ascii="Arial" w:hAnsi="Arial" w:cs="Arial"/>
          <w:sz w:val="22"/>
          <w:szCs w:val="22"/>
        </w:rPr>
        <w:t>2D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controls (~0.5 pixels/frame). Finally, pharmacological perturbation via the S-adenosyl methyltransferase inhibitor 3-</w:t>
      </w:r>
      <w:r w:rsidRPr="001F4683">
        <w:rPr>
          <w:rFonts w:ascii="Arial" w:hAnsi="Arial" w:cs="Arial"/>
          <w:sz w:val="22"/>
          <w:szCs w:val="22"/>
        </w:rPr>
        <w:lastRenderedPageBreak/>
        <w:t>Deazaneplanocin A</w:t>
      </w:r>
      <w:r w:rsidRPr="001F46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4683">
        <w:rPr>
          <w:rFonts w:ascii="Arial" w:hAnsi="Arial" w:cs="Arial"/>
          <w:sz w:val="22"/>
          <w:szCs w:val="22"/>
        </w:rPr>
        <w:t>(</w:t>
      </w:r>
      <w:proofErr w:type="spellStart"/>
      <w:r w:rsidRPr="001F4683">
        <w:rPr>
          <w:rFonts w:ascii="Arial" w:hAnsi="Arial" w:cs="Arial"/>
          <w:sz w:val="22"/>
          <w:szCs w:val="22"/>
        </w:rPr>
        <w:t>DZNep</w:t>
      </w:r>
      <w:proofErr w:type="spellEnd"/>
      <w:r w:rsidRPr="001F4683">
        <w:rPr>
          <w:rFonts w:ascii="Arial" w:hAnsi="Arial" w:cs="Arial"/>
          <w:sz w:val="22"/>
          <w:szCs w:val="22"/>
        </w:rPr>
        <w:t>) exhibited dose-dependent cytotoxicity in late-stage myotubes, causing a significant reduction in nuclear cell density (</w:t>
      </w:r>
      <m:oMath>
        <m:r>
          <w:rPr>
            <w:rFonts w:ascii="Cambria Math" w:hAnsi="Cambria Math" w:cs="Arial"/>
            <w:sz w:val="22"/>
            <w:szCs w:val="22"/>
          </w:rPr>
          <m:t>p&lt;0.001</m:t>
        </m:r>
      </m:oMath>
      <w:r w:rsidRPr="001F4683">
        <w:rPr>
          <w:rFonts w:ascii="Arial" w:hAnsi="Arial" w:cs="Arial"/>
          <w:sz w:val="22"/>
          <w:szCs w:val="22"/>
        </w:rPr>
        <w:t xml:space="preserve">; 28.1% loss at 10 </w:t>
      </w:r>
      <m:oMath>
        <m:r>
          <w:rPr>
            <w:rFonts w:ascii="Cambria Math" w:hAnsi="Cambria Math" w:cs="Arial"/>
            <w:sz w:val="22"/>
            <w:szCs w:val="22"/>
          </w:rPr>
          <m:t>μ</m:t>
        </m:r>
      </m:oMath>
      <w:r w:rsidRPr="001F4683">
        <w:rPr>
          <w:rFonts w:ascii="Arial" w:hAnsi="Arial" w:cs="Arial"/>
          <w:sz w:val="22"/>
          <w:szCs w:val="22"/>
        </w:rPr>
        <w:t xml:space="preserve">M) </w:t>
      </w:r>
      <w:r>
        <w:rPr>
          <w:rFonts w:ascii="Arial" w:hAnsi="Arial" w:cs="Arial"/>
          <w:sz w:val="22"/>
          <w:szCs w:val="22"/>
        </w:rPr>
        <w:t>accompanied with</w:t>
      </w:r>
      <w:r w:rsidRPr="001F46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4683">
        <w:rPr>
          <w:rFonts w:ascii="Arial" w:hAnsi="Arial" w:cs="Arial"/>
          <w:sz w:val="22"/>
          <w:szCs w:val="22"/>
        </w:rPr>
        <w:t>hydropic</w:t>
      </w:r>
      <w:proofErr w:type="spellEnd"/>
      <w:r w:rsidRPr="001F4683">
        <w:rPr>
          <w:rFonts w:ascii="Arial" w:hAnsi="Arial" w:cs="Arial"/>
          <w:sz w:val="22"/>
          <w:szCs w:val="22"/>
        </w:rPr>
        <w:t xml:space="preserve"> vacuolation. In conclusion, this study establishes a controlled and highly reproducible differentiation pipeline </w:t>
      </w:r>
      <w:r>
        <w:rPr>
          <w:rFonts w:ascii="Arial" w:hAnsi="Arial" w:cs="Arial"/>
          <w:sz w:val="22"/>
          <w:szCs w:val="22"/>
        </w:rPr>
        <w:t xml:space="preserve">that demonstrates the </w:t>
      </w:r>
      <w:r w:rsidRPr="001F4683">
        <w:rPr>
          <w:rFonts w:ascii="Arial" w:hAnsi="Arial" w:cs="Arial"/>
          <w:sz w:val="22"/>
          <w:szCs w:val="22"/>
        </w:rPr>
        <w:t xml:space="preserve">necessity of topographical cues for </w:t>
      </w:r>
      <w:r>
        <w:rPr>
          <w:rFonts w:ascii="Arial" w:hAnsi="Arial" w:cs="Arial"/>
          <w:sz w:val="22"/>
          <w:szCs w:val="22"/>
        </w:rPr>
        <w:t xml:space="preserve">generating the </w:t>
      </w:r>
      <w:r w:rsidRPr="001F4683">
        <w:rPr>
          <w:rFonts w:ascii="Arial" w:hAnsi="Arial" w:cs="Arial"/>
          <w:sz w:val="22"/>
          <w:szCs w:val="22"/>
        </w:rPr>
        <w:t>mechanical force</w:t>
      </w:r>
      <w:r>
        <w:rPr>
          <w:rFonts w:ascii="Arial" w:hAnsi="Arial" w:cs="Arial"/>
          <w:sz w:val="22"/>
          <w:szCs w:val="22"/>
        </w:rPr>
        <w:t>s</w:t>
      </w:r>
      <w:r w:rsidRPr="001F4683">
        <w:rPr>
          <w:rFonts w:ascii="Arial" w:hAnsi="Arial" w:cs="Arial"/>
          <w:sz w:val="22"/>
          <w:szCs w:val="22"/>
        </w:rPr>
        <w:t xml:space="preserve"> for effective </w:t>
      </w:r>
      <w:r>
        <w:rPr>
          <w:rFonts w:ascii="Arial" w:hAnsi="Arial" w:cs="Arial"/>
          <w:sz w:val="22"/>
          <w:szCs w:val="22"/>
        </w:rPr>
        <w:t xml:space="preserve">muscle </w:t>
      </w:r>
      <w:r w:rsidRPr="001F4683">
        <w:rPr>
          <w:rFonts w:ascii="Arial" w:hAnsi="Arial" w:cs="Arial"/>
          <w:sz w:val="22"/>
          <w:szCs w:val="22"/>
        </w:rPr>
        <w:t>contractility</w:t>
      </w:r>
      <w:r>
        <w:rPr>
          <w:rFonts w:ascii="Arial" w:hAnsi="Arial" w:cs="Arial"/>
          <w:sz w:val="22"/>
          <w:szCs w:val="22"/>
        </w:rPr>
        <w:t xml:space="preserve">. Furthermore, identifying optimal levels of </w:t>
      </w:r>
      <w:r w:rsidRPr="001F4683">
        <w:rPr>
          <w:rFonts w:ascii="Arial" w:hAnsi="Arial" w:cs="Arial"/>
          <w:sz w:val="22"/>
          <w:szCs w:val="22"/>
        </w:rPr>
        <w:t xml:space="preserve">GLUT4 expression levels and epigenetic regulation crucial for downstream disease modelling and neuromuscular bioengineering. </w:t>
      </w:r>
    </w:p>
    <w:p w14:paraId="2C3D37B4" w14:textId="77777777" w:rsidR="00595B5B" w:rsidRDefault="00595B5B"/>
    <w:sectPr w:rsidR="0059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9A2203"/>
    <w:multiLevelType w:val="multilevel"/>
    <w:tmpl w:val="79F8B7D4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91610022">
    <w:abstractNumId w:val="0"/>
  </w:num>
  <w:num w:numId="2" w16cid:durableId="410547655">
    <w:abstractNumId w:val="0"/>
  </w:num>
  <w:num w:numId="3" w16cid:durableId="143745703">
    <w:abstractNumId w:val="0"/>
  </w:num>
  <w:num w:numId="4" w16cid:durableId="766122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FD"/>
    <w:rsid w:val="00011CA7"/>
    <w:rsid w:val="00020BA0"/>
    <w:rsid w:val="00026D51"/>
    <w:rsid w:val="00034686"/>
    <w:rsid w:val="00050F7D"/>
    <w:rsid w:val="00061171"/>
    <w:rsid w:val="00066312"/>
    <w:rsid w:val="000676F3"/>
    <w:rsid w:val="00075C5F"/>
    <w:rsid w:val="000B0411"/>
    <w:rsid w:val="000B2369"/>
    <w:rsid w:val="000C0FA2"/>
    <w:rsid w:val="000D289D"/>
    <w:rsid w:val="00120DF8"/>
    <w:rsid w:val="00126180"/>
    <w:rsid w:val="0012780F"/>
    <w:rsid w:val="00137C7C"/>
    <w:rsid w:val="00173855"/>
    <w:rsid w:val="00187E5F"/>
    <w:rsid w:val="001B22AE"/>
    <w:rsid w:val="001C3222"/>
    <w:rsid w:val="00223174"/>
    <w:rsid w:val="002239C0"/>
    <w:rsid w:val="002312FF"/>
    <w:rsid w:val="0023321E"/>
    <w:rsid w:val="00241BFC"/>
    <w:rsid w:val="002526B4"/>
    <w:rsid w:val="00292990"/>
    <w:rsid w:val="002C0A73"/>
    <w:rsid w:val="002D6CB0"/>
    <w:rsid w:val="002E3DF4"/>
    <w:rsid w:val="002E4D56"/>
    <w:rsid w:val="002F226E"/>
    <w:rsid w:val="00302265"/>
    <w:rsid w:val="00310EB1"/>
    <w:rsid w:val="00313561"/>
    <w:rsid w:val="00315C92"/>
    <w:rsid w:val="00323955"/>
    <w:rsid w:val="00334BEB"/>
    <w:rsid w:val="00334FF8"/>
    <w:rsid w:val="003457A5"/>
    <w:rsid w:val="0034679B"/>
    <w:rsid w:val="00350481"/>
    <w:rsid w:val="00387312"/>
    <w:rsid w:val="003A0E12"/>
    <w:rsid w:val="003B4359"/>
    <w:rsid w:val="003B7AD5"/>
    <w:rsid w:val="003C7B5D"/>
    <w:rsid w:val="003D0D43"/>
    <w:rsid w:val="003E3382"/>
    <w:rsid w:val="00402CD3"/>
    <w:rsid w:val="00405455"/>
    <w:rsid w:val="004066ED"/>
    <w:rsid w:val="004629B5"/>
    <w:rsid w:val="00471225"/>
    <w:rsid w:val="004C32E5"/>
    <w:rsid w:val="004F06EA"/>
    <w:rsid w:val="00503541"/>
    <w:rsid w:val="00510FB7"/>
    <w:rsid w:val="0051169A"/>
    <w:rsid w:val="00512620"/>
    <w:rsid w:val="00514406"/>
    <w:rsid w:val="00537757"/>
    <w:rsid w:val="00556D6D"/>
    <w:rsid w:val="005655C0"/>
    <w:rsid w:val="00574904"/>
    <w:rsid w:val="00582406"/>
    <w:rsid w:val="00585913"/>
    <w:rsid w:val="00587119"/>
    <w:rsid w:val="00595B5B"/>
    <w:rsid w:val="005B2AD9"/>
    <w:rsid w:val="005B5180"/>
    <w:rsid w:val="005D2496"/>
    <w:rsid w:val="005D3221"/>
    <w:rsid w:val="005F6A5B"/>
    <w:rsid w:val="00600892"/>
    <w:rsid w:val="00604DA3"/>
    <w:rsid w:val="006113B7"/>
    <w:rsid w:val="006265D5"/>
    <w:rsid w:val="006335E4"/>
    <w:rsid w:val="0063422E"/>
    <w:rsid w:val="00643967"/>
    <w:rsid w:val="00664115"/>
    <w:rsid w:val="00664F5F"/>
    <w:rsid w:val="00667839"/>
    <w:rsid w:val="0067351B"/>
    <w:rsid w:val="006B4D42"/>
    <w:rsid w:val="00700F4F"/>
    <w:rsid w:val="00703EAE"/>
    <w:rsid w:val="00724DCB"/>
    <w:rsid w:val="0073027A"/>
    <w:rsid w:val="007641D9"/>
    <w:rsid w:val="00782430"/>
    <w:rsid w:val="00790547"/>
    <w:rsid w:val="007A5865"/>
    <w:rsid w:val="007B0655"/>
    <w:rsid w:val="007D17C7"/>
    <w:rsid w:val="007E5740"/>
    <w:rsid w:val="00824D39"/>
    <w:rsid w:val="008318EA"/>
    <w:rsid w:val="0088472B"/>
    <w:rsid w:val="00884AF2"/>
    <w:rsid w:val="008B3097"/>
    <w:rsid w:val="008D6CD9"/>
    <w:rsid w:val="008D7BC6"/>
    <w:rsid w:val="00912B48"/>
    <w:rsid w:val="00922926"/>
    <w:rsid w:val="00924707"/>
    <w:rsid w:val="00945953"/>
    <w:rsid w:val="00955C7D"/>
    <w:rsid w:val="00962940"/>
    <w:rsid w:val="009703BE"/>
    <w:rsid w:val="009726F0"/>
    <w:rsid w:val="009929A6"/>
    <w:rsid w:val="009B431B"/>
    <w:rsid w:val="009C4E24"/>
    <w:rsid w:val="009C7D5B"/>
    <w:rsid w:val="009F4E75"/>
    <w:rsid w:val="00A05BB8"/>
    <w:rsid w:val="00A136FD"/>
    <w:rsid w:val="00A218DC"/>
    <w:rsid w:val="00A36D42"/>
    <w:rsid w:val="00A413FE"/>
    <w:rsid w:val="00A4343D"/>
    <w:rsid w:val="00A43985"/>
    <w:rsid w:val="00A55221"/>
    <w:rsid w:val="00A655F6"/>
    <w:rsid w:val="00AB624D"/>
    <w:rsid w:val="00AB6E1A"/>
    <w:rsid w:val="00AC4A19"/>
    <w:rsid w:val="00AE244F"/>
    <w:rsid w:val="00AE499C"/>
    <w:rsid w:val="00AE4C13"/>
    <w:rsid w:val="00AE7AD7"/>
    <w:rsid w:val="00AF355E"/>
    <w:rsid w:val="00AF5A49"/>
    <w:rsid w:val="00B16D66"/>
    <w:rsid w:val="00B27CA4"/>
    <w:rsid w:val="00B716C9"/>
    <w:rsid w:val="00B775B5"/>
    <w:rsid w:val="00B87458"/>
    <w:rsid w:val="00B97D46"/>
    <w:rsid w:val="00BA7765"/>
    <w:rsid w:val="00BB2B77"/>
    <w:rsid w:val="00BB7806"/>
    <w:rsid w:val="00BC7A7C"/>
    <w:rsid w:val="00BD5F68"/>
    <w:rsid w:val="00BE5CC9"/>
    <w:rsid w:val="00BF3C8C"/>
    <w:rsid w:val="00C009F0"/>
    <w:rsid w:val="00C01BAD"/>
    <w:rsid w:val="00C22B44"/>
    <w:rsid w:val="00C538AD"/>
    <w:rsid w:val="00C673E8"/>
    <w:rsid w:val="00C72F5E"/>
    <w:rsid w:val="00C9136A"/>
    <w:rsid w:val="00C963FE"/>
    <w:rsid w:val="00CD4477"/>
    <w:rsid w:val="00CD7198"/>
    <w:rsid w:val="00CE6959"/>
    <w:rsid w:val="00D06538"/>
    <w:rsid w:val="00D20BBB"/>
    <w:rsid w:val="00D218D3"/>
    <w:rsid w:val="00D37814"/>
    <w:rsid w:val="00D42116"/>
    <w:rsid w:val="00D46E32"/>
    <w:rsid w:val="00D66507"/>
    <w:rsid w:val="00D713F4"/>
    <w:rsid w:val="00D86BBB"/>
    <w:rsid w:val="00D905EC"/>
    <w:rsid w:val="00DB03C8"/>
    <w:rsid w:val="00DC0E23"/>
    <w:rsid w:val="00E01F5B"/>
    <w:rsid w:val="00E042F5"/>
    <w:rsid w:val="00E161B8"/>
    <w:rsid w:val="00E27712"/>
    <w:rsid w:val="00E34196"/>
    <w:rsid w:val="00E64F8C"/>
    <w:rsid w:val="00E77051"/>
    <w:rsid w:val="00E93720"/>
    <w:rsid w:val="00EA496E"/>
    <w:rsid w:val="00EA4F95"/>
    <w:rsid w:val="00EC5472"/>
    <w:rsid w:val="00ED3363"/>
    <w:rsid w:val="00EE13C4"/>
    <w:rsid w:val="00EF62B9"/>
    <w:rsid w:val="00EF7214"/>
    <w:rsid w:val="00F01530"/>
    <w:rsid w:val="00F10DF2"/>
    <w:rsid w:val="00F13E5E"/>
    <w:rsid w:val="00F23111"/>
    <w:rsid w:val="00F240D0"/>
    <w:rsid w:val="00F251A6"/>
    <w:rsid w:val="00F306AE"/>
    <w:rsid w:val="00F57821"/>
    <w:rsid w:val="00F70D0D"/>
    <w:rsid w:val="00F74695"/>
    <w:rsid w:val="00FA03D5"/>
    <w:rsid w:val="00FC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93653"/>
  <w15:chartTrackingRefBased/>
  <w15:docId w15:val="{972D06F1-ED61-004F-BFDB-1D888E32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481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1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A136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136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13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81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8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8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8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3504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350481"/>
    <w:rPr>
      <w:rFonts w:eastAsia="Times New Roman" w:cs="Times New Roman"/>
      <w:i/>
      <w:iCs/>
      <w:color w:val="1F497D" w:themeColor="text2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qFormat/>
    <w:rsid w:val="00350481"/>
    <w:pPr>
      <w:spacing w:before="100" w:after="100"/>
      <w:ind w:left="480" w:right="480"/>
      <w:jc w:val="both"/>
    </w:pPr>
    <w:rPr>
      <w:rFonts w:cs="Times New Roman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5048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0481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481"/>
    <w:rPr>
      <w:b/>
      <w:bCs/>
    </w:rPr>
  </w:style>
  <w:style w:type="character" w:styleId="Emphasis">
    <w:name w:val="Emphasis"/>
    <w:basedOn w:val="DefaultParagraphFont"/>
    <w:uiPriority w:val="20"/>
    <w:qFormat/>
    <w:rsid w:val="00350481"/>
    <w:rPr>
      <w:i/>
      <w:iCs/>
    </w:rPr>
  </w:style>
  <w:style w:type="paragraph" w:styleId="NoSpacing">
    <w:name w:val="No Spacing"/>
    <w:uiPriority w:val="1"/>
    <w:qFormat/>
    <w:rsid w:val="003504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0481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136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FD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FD"/>
    <w:rPr>
      <w:rFonts w:eastAsiaTheme="majorEastAsia" w:cstheme="majorBidi"/>
      <w:color w:val="365F91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A136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A136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FD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A136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FD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136F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36FD"/>
    <w:pPr>
      <w:spacing w:before="100" w:beforeAutospacing="1" w:after="100" w:afterAutospacing="1" w:line="278" w:lineRule="auto"/>
    </w:pPr>
    <w:rPr>
      <w:rFonts w:eastAsia="Times New Roman" w:cs="Times New Roman"/>
    </w:rPr>
  </w:style>
  <w:style w:type="character" w:customStyle="1" w:styleId="inqyif">
    <w:name w:val="inqyif"/>
    <w:basedOn w:val="DefaultParagraphFont"/>
    <w:rsid w:val="00A13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Nadar</dc:creator>
  <cp:keywords/>
  <dc:description/>
  <cp:lastModifiedBy>Angelin Nadar</cp:lastModifiedBy>
  <cp:revision>1</cp:revision>
  <dcterms:created xsi:type="dcterms:W3CDTF">2026-10-01T14:19:00Z</dcterms:created>
  <dcterms:modified xsi:type="dcterms:W3CDTF">2026-10-01T14:20:00Z</dcterms:modified>
</cp:coreProperties>
</file>