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514" w:rsidRPr="009A08ED" w:rsidRDefault="00AE4BC9">
      <w:pPr>
        <w:pStyle w:val="Ch6"/>
        <w:spacing w:before="567"/>
        <w:ind w:left="4535"/>
        <w:rPr>
          <w:noProof/>
          <w:lang w:val="en-AU"/>
        </w:rPr>
      </w:pPr>
      <w:r w:rsidRPr="009A08ED">
        <w:rPr>
          <w:noProof/>
          <w:lang w:val="en-AU"/>
        </w:rPr>
        <w:t>Додаток 3</w:t>
      </w:r>
      <w:r w:rsidRPr="009A08ED">
        <w:rPr>
          <w:noProof/>
          <w:lang w:val="en-AU"/>
        </w:rPr>
        <w:br/>
        <w:t xml:space="preserve">до Стандарту модульного підходу </w:t>
      </w:r>
      <w:r w:rsidR="00AE606A" w:rsidRPr="009A08ED">
        <w:rPr>
          <w:rFonts w:asciiTheme="minorHAnsi" w:hAnsiTheme="minorHAnsi"/>
          <w:noProof/>
          <w:lang w:val="en-AU"/>
        </w:rPr>
        <w:br/>
      </w:r>
      <w:r w:rsidRPr="009A08ED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AE606A" w:rsidRPr="009A08ED">
        <w:rPr>
          <w:rFonts w:asciiTheme="minorHAnsi" w:hAnsiTheme="minorHAnsi"/>
          <w:noProof/>
          <w:lang w:val="en-AU"/>
        </w:rPr>
        <w:br/>
      </w:r>
      <w:r w:rsidRPr="009A08ED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9A08ED">
        <w:rPr>
          <w:noProof/>
          <w:lang w:val="en-AU"/>
        </w:rPr>
        <w:br/>
        <w:t>(пункт 7)</w:t>
      </w:r>
    </w:p>
    <w:p w:rsidR="00B03514" w:rsidRPr="009A08ED" w:rsidRDefault="00AE4BC9">
      <w:pPr>
        <w:pStyle w:val="Ch60"/>
        <w:rPr>
          <w:noProof/>
          <w:lang w:val="en-AU"/>
        </w:rPr>
      </w:pPr>
      <w:r w:rsidRPr="009A08ED">
        <w:rPr>
          <w:noProof/>
          <w:lang w:val="en-AU"/>
        </w:rPr>
        <w:t>Модуль операційний</w:t>
      </w:r>
    </w:p>
    <w:p w:rsidR="00B03514" w:rsidRPr="009A08ED" w:rsidRDefault="00AE4BC9">
      <w:pPr>
        <w:pStyle w:val="Ch62"/>
        <w:spacing w:before="57"/>
        <w:rPr>
          <w:noProof/>
          <w:lang w:val="en-AU"/>
        </w:rPr>
      </w:pPr>
      <w:r w:rsidRPr="009A08ED">
        <w:rPr>
          <w:noProof/>
          <w:lang w:val="en-AU"/>
        </w:rPr>
        <w:t>1. Спроможність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Надання екстрених хірургічних (зокрема, в обсязі хірургії контролю пошкоджень) та загальнохірургічних втручань.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1) Опис основної спроможності модуля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Операційний (хірургічний) модуль виконує екстрені хірургічні втручання постраждалим (зокрема, в обсязі хірургії контролю пошкоджень), загальнохірургічні втручання при гострих захворюваннях / станах, анестезіологічний супровід в периопераційному періоді, підготовку до заходів медичної евакуації.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2) Належність до ролей медичної підтримки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Операційний модуль входить до складу таких ролей медичної підтримки на догоспітальному етапі: R2F, R2B, R2E.</w:t>
      </w:r>
    </w:p>
    <w:p w:rsidR="00B03514" w:rsidRPr="009A08ED" w:rsidRDefault="00AE4BC9">
      <w:pPr>
        <w:pStyle w:val="Ch62"/>
        <w:rPr>
          <w:noProof/>
          <w:lang w:val="en-AU"/>
        </w:rPr>
      </w:pPr>
      <w:r w:rsidRPr="009A08ED">
        <w:rPr>
          <w:noProof/>
          <w:lang w:val="en-AU"/>
        </w:rPr>
        <w:t>2. Завдання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Відповідно до наказу № 598, мінімальний обсяг завдань операційного модуля включає: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1) Забезпечення медичної допомоги травмованим / нетравмованим пацієнтам у периопераційному періоді: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огляду (в тому числі передопераційного) за алгоритмом для травмованих / нетравмованих пацієнтів, оцінка загального стану та життєво важливих функцій, проведення та / або призначення лікування, оцінювання лабораторних обстежень та інструментальних досліджень (в тому числі сонографія при травмі);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встановлення попереднього діагнозу та визначення необхідного обсягу допомоги (в тому числі призначення лікування);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надання допомоги в обсязі базових та розширених реанімаційних заходів (в тому числі проведення ресусцитаційних заходів з контролем пошкоджень, трансфузії крові та / або компонентів крові тощо);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забезпечення медичного догляду за пацієнтом в передопераційний та інтраопераційний період та залучення до надання медичної допомоги / спостереження у післяопераційному періоді;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забезпечення седації та / або знеболення з використанням принципів мультимодальної анальгезії (оцінювання стану пацієнта в потребі седації та / або знеболенні, призначення та спостереження за їх рівнем з оцінкою ефективності);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забезпечення анестезії та анестезіологічного супроводу під час проведення хірургічних операцій та обстежень;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та контроль заходів з іммобілізації;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забезпечення заходів з проведення вакцинації (наприклад, правця);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профілактика та лікування гіпо- та гіпертермії;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виконання встановлених вимог до надання медичної допомоги пацієнту з інфекційним захворюванням або підозрою на інфекційні захворювання;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підтримання комфорту та гігієни пацієнта;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2) Проведення хірургічних втручань: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передопераційної оцінки та огляду, визначення абсолютних та відносних показань до хірургічного втручання;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хірургічних втручань в амбулаторних умовах;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хірургічних втручань в обсязі хірургії контролю пошкоджень;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лапаротомії;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торакотомії / стернотомії;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екстреної реанімаційної торакотомії;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lastRenderedPageBreak/>
        <w:t>проведення ревізії органів черевної порожнини;</w:t>
      </w:r>
    </w:p>
    <w:p w:rsidR="00B03514" w:rsidRPr="009A08ED" w:rsidRDefault="00AE4BC9">
      <w:pPr>
        <w:pStyle w:val="Ch61"/>
        <w:rPr>
          <w:noProof/>
          <w:spacing w:val="-2"/>
          <w:lang w:val="en-AU"/>
        </w:rPr>
      </w:pPr>
      <w:r w:rsidRPr="009A08ED">
        <w:rPr>
          <w:noProof/>
          <w:spacing w:val="-2"/>
          <w:lang w:val="en-AU"/>
        </w:rPr>
        <w:t>проведення хірургічних втручань в обсязі хірургії контролю пошкоджень ортопедичних структур;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есхаротомія / фасціотомія;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загальнохірургічних втручань на м’яких тканинах, верхніх дихальних шляхах, черевній та грудній порожнині, магістральних судинах, органах сечостатевої системи, хребті (дебридменту та імобілізації хребта);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хірургічних втручань при травмі головного мозку (трепанація при епідуральній або субдуральній гематомі), за неможливості надання медичної допомоги нейрохірургом в найближчі 4 години за наявності відповідно навченого персоналу;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дебридменту та іригації ран;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зовнішньої фіксації кісток та ампутацій;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кантотомії та кантолізу;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реанімаційної ендоваскулярної балонної оклюзії аорти;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залучення до надання медичної допомоги у післяопераційному періоді;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призначення лікування;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3) Менеджмент ХБРЯ-контамінованих пацієнтів: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застосування підходів до надання медичної допомоги та алгоритмів огляду травмованих пацієнтів (включаючи хірургічні втручання та ресусцитаційні заходи з контролем пошкоджень, анестезіологічне забезпечення та інші необхідні заходи) в невідкладному стані внаслідок застосування хімічного, біологічного, радіологічного та ядерного виду озброєння;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4) Забезпечення підготовки до проведення заходів медичної евакуації пацієнтів: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підготовка пацієнта до транспортування;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підготовка необхідних медичних виробів / лікарських засобів тощо до проведення медичної евакуації;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роз’яснення пацієнту (якщо це можливо) заходів щодо його транспортування, з метою забезпечення його психологічного комфорту та розуміння процесу;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урахування обмежень та можливостей спеціалізованих санітарних транспортних засобів (наземного, повітряного та морського) до проведення медичної евакуації;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5) Організація та забезпечення функціонування модуля: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забезпечення контролю за підготовкою операційного модуля;</w:t>
      </w:r>
    </w:p>
    <w:p w:rsidR="00B03514" w:rsidRPr="009A08ED" w:rsidRDefault="00AE4BC9">
      <w:pPr>
        <w:pStyle w:val="Ch61"/>
        <w:rPr>
          <w:noProof/>
          <w:spacing w:val="-3"/>
          <w:lang w:val="en-AU"/>
        </w:rPr>
      </w:pPr>
      <w:r w:rsidRPr="009A08ED">
        <w:rPr>
          <w:noProof/>
          <w:spacing w:val="-3"/>
          <w:lang w:val="en-AU"/>
        </w:rPr>
        <w:t>підготовка, перевірка справності та готовності до використання медичних та немедичних виробів;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проведення дезінфекції та стерилізації медичних виробів при наявності доступу до функції стерилізації або у взаємодії з вищими Ролями, якщо інші способи забезпечення стерильності не передбачені;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регулярна перевірка (наявності та термінів придатності), своєчасне списання та підтримання рівнів запасу лікарських засобів, медичних виробів, донорської крові та компонентів крові, медичних газів тощо;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підтримка чистоти та порядку в модулі;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контроль за належною утилізацією медичних відходів (за можливості);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6) Виконання адміністративних функцій та обмін інформацією: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встановлення попереднього діагнозу та визначення потреби в госпіталізації / направлення пацієнта за наявності показань для отримання медичних послуг на визначену Роль (заклади охорони здоров’я чи підрозділи за попередньо визначеними маршрутами (евакуації) пацієнтів);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інформування медичних підрозділів приймаючої сторони та транспортних (евакуаційних) команд про стан пацієнта та надані медичні послуги для забезпечення вжиття необхідних заходів;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своєчасне та повноцінне ведення первинної облікової документації (в тому числі електронної при розгортанні медично-інформаційної системи) та забезпечення її наявності для належної передачі інформації про пацієнта;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використання методів та засобів телемедицини відповідно до клінічних ситуацій та можливості;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дотримання визначених заходів у випадку смерті пацієнта;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інформування командира (начальника) МТФ стосовно обсягу потоку пацієнтів;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7) Реагування на ситуації при масовому надходженні постраждалих: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забезпечення необхідних заходів при масовому надходженні постраждалих.</w:t>
      </w:r>
    </w:p>
    <w:p w:rsidR="00B03514" w:rsidRPr="009A08ED" w:rsidRDefault="00AE4BC9">
      <w:pPr>
        <w:pStyle w:val="Ch62"/>
        <w:rPr>
          <w:noProof/>
          <w:lang w:val="en-AU"/>
        </w:rPr>
      </w:pPr>
      <w:r w:rsidRPr="009A08ED">
        <w:rPr>
          <w:noProof/>
          <w:lang w:val="en-AU"/>
        </w:rPr>
        <w:t>3. Персонал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Склад персоналу модуля формується відповідно до такого переліку: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лікар зі спеціалізацією за фахом «Хірургія»: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один на 1 операційний стіл та не менше трьох на 2 операційних столи.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Лікар зі спеціалізацією за фахом «Ортопедія і травматологія»*: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один на 1 операційний стіл та не менше одного на 2 операційних столи.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lastRenderedPageBreak/>
        <w:t>Лікар зі спеціалізацією за фахом «Анестезіологія»: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один на 1 операційний стіл та не менше одного на 2 операційні столи.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Сестра медична / брат медичний операційна, спеціалізація за фахом «Хірургія»: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одна / один на 1 операційний стіл.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Сестра медична / брат медичний-анестезист, спеціалізація за фахом «Анестезіологія та реаніматологія»: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одна / один на 1 операційний стіл.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Молодша медична сестра / медичний брат: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одна / один на 1 операційний стіл та не менше однієї / одного на 2 операційних столи.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У разі необхідності, за погодженням із безпосередніми командирами та командуванням військової частини, в інтересах якої працює відповідний модуль, може залучатися особовий склад без медичної освіти для посилення ланки молодших медичних працівників (молодша медична сестра/ медичний брат).</w:t>
      </w:r>
    </w:p>
    <w:p w:rsidR="00B03514" w:rsidRPr="009A08ED" w:rsidRDefault="00AE4BC9">
      <w:pPr>
        <w:pStyle w:val="Ch62"/>
        <w:rPr>
          <w:noProof/>
          <w:lang w:val="en-AU"/>
        </w:rPr>
      </w:pPr>
      <w:r w:rsidRPr="009A08ED">
        <w:rPr>
          <w:noProof/>
          <w:lang w:val="en-AU"/>
        </w:rPr>
        <w:t>4. Розрахункова пропускна здатність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Розрахункова пропускна здатність хірургічної команди становить 4 оперативних втручання для пацієнтів, стан яких загрожує життю, та 4 оперативних втручання, стан яких потребує термінового лікування, у період пікового навантаження одна хірургічна команда може провести до 12 екстрених оперативних втручань на добу.</w:t>
      </w:r>
    </w:p>
    <w:p w:rsidR="00B03514" w:rsidRPr="009A08ED" w:rsidRDefault="00AE4BC9">
      <w:pPr>
        <w:pStyle w:val="Ch62"/>
        <w:rPr>
          <w:noProof/>
          <w:lang w:val="en-AU"/>
        </w:rPr>
      </w:pPr>
      <w:r w:rsidRPr="009A08ED">
        <w:rPr>
          <w:noProof/>
          <w:lang w:val="en-AU"/>
        </w:rPr>
        <w:t>5. Рекомендації щодо підготовки персоналу модуля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7"/>
        <w:gridCol w:w="1021"/>
        <w:gridCol w:w="1020"/>
        <w:gridCol w:w="1021"/>
        <w:gridCol w:w="1077"/>
        <w:gridCol w:w="1077"/>
        <w:gridCol w:w="727"/>
      </w:tblGrid>
      <w:tr w:rsidR="00B03514" w:rsidRPr="009A08ED">
        <w:trPr>
          <w:trHeight w:val="300"/>
          <w:tblHeader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</w:tcPr>
          <w:p w:rsidR="00B03514" w:rsidRPr="009A08ED" w:rsidRDefault="00AE4BC9">
            <w:pPr>
              <w:pStyle w:val="TableshapkaTABL"/>
              <w:jc w:val="right"/>
              <w:rPr>
                <w:noProof/>
                <w:sz w:val="12"/>
                <w:szCs w:val="12"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>Категорія персоналу</w:t>
            </w:r>
          </w:p>
          <w:p w:rsidR="00B03514" w:rsidRPr="009A08ED" w:rsidRDefault="00B035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03514" w:rsidRPr="009A08ED" w:rsidRDefault="00B035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03514" w:rsidRPr="009A08ED" w:rsidRDefault="00B035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03514" w:rsidRPr="009A08ED" w:rsidRDefault="00B035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03514" w:rsidRPr="009A08ED" w:rsidRDefault="00AE4BC9">
            <w:pPr>
              <w:pStyle w:val="TableshapkaTABL"/>
              <w:jc w:val="left"/>
              <w:rPr>
                <w:noProof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>Навчальний курс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03514" w:rsidRPr="009A08ED" w:rsidRDefault="00AE4BC9">
            <w:pPr>
              <w:pStyle w:val="TableshapkaTABL"/>
              <w:rPr>
                <w:noProof/>
                <w:sz w:val="12"/>
                <w:szCs w:val="12"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 xml:space="preserve">Лікар </w:t>
            </w:r>
            <w:r w:rsidRPr="009A08ED">
              <w:rPr>
                <w:noProof/>
                <w:sz w:val="12"/>
                <w:szCs w:val="12"/>
                <w:lang w:val="en-AU"/>
              </w:rPr>
              <w:br/>
              <w:t>зі спеціалізацією</w:t>
            </w:r>
          </w:p>
          <w:p w:rsidR="00B03514" w:rsidRPr="009A08ED" w:rsidRDefault="00AE4BC9">
            <w:pPr>
              <w:pStyle w:val="TableshapkaTABL"/>
              <w:rPr>
                <w:noProof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>«Анестезіологія»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03514" w:rsidRPr="009A08ED" w:rsidRDefault="00AE4BC9">
            <w:pPr>
              <w:pStyle w:val="TableshapkaTABL"/>
              <w:rPr>
                <w:noProof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 xml:space="preserve">Лікар </w:t>
            </w:r>
            <w:r w:rsidRPr="009A08ED">
              <w:rPr>
                <w:noProof/>
                <w:sz w:val="12"/>
                <w:szCs w:val="12"/>
                <w:lang w:val="en-AU"/>
              </w:rPr>
              <w:br/>
              <w:t xml:space="preserve">зі спеціалізацією «Ортопедія </w:t>
            </w:r>
            <w:r w:rsidRPr="009A08ED">
              <w:rPr>
                <w:noProof/>
                <w:sz w:val="12"/>
                <w:szCs w:val="12"/>
                <w:lang w:val="en-AU"/>
              </w:rPr>
              <w:br/>
              <w:t>і травматологія»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03514" w:rsidRPr="009A08ED" w:rsidRDefault="00AE4BC9">
            <w:pPr>
              <w:pStyle w:val="TableshapkaTABL"/>
              <w:rPr>
                <w:noProof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 xml:space="preserve">Лікар </w:t>
            </w:r>
            <w:r w:rsidRPr="009A08ED">
              <w:rPr>
                <w:noProof/>
                <w:sz w:val="12"/>
                <w:szCs w:val="12"/>
                <w:lang w:val="en-AU"/>
              </w:rPr>
              <w:br/>
              <w:t>зі спеціалізацією «Хірургія»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03514" w:rsidRPr="009A08ED" w:rsidRDefault="00AE4BC9">
            <w:pPr>
              <w:pStyle w:val="TableshapkaTABL"/>
              <w:rPr>
                <w:noProof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 xml:space="preserve">Сестра медична/ </w:t>
            </w:r>
            <w:r w:rsidRPr="009A08ED">
              <w:rPr>
                <w:noProof/>
                <w:sz w:val="12"/>
                <w:szCs w:val="12"/>
                <w:lang w:val="en-AU"/>
              </w:rPr>
              <w:br/>
              <w:t xml:space="preserve">брат медичний-анестезист </w:t>
            </w:r>
            <w:r w:rsidRPr="009A08ED">
              <w:rPr>
                <w:noProof/>
                <w:sz w:val="12"/>
                <w:szCs w:val="12"/>
                <w:lang w:val="en-AU"/>
              </w:rPr>
              <w:br/>
              <w:t>зі спеціалізацією «Анестезіологія та реаніматологія»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03514" w:rsidRPr="009A08ED" w:rsidRDefault="00AE4BC9">
            <w:pPr>
              <w:pStyle w:val="TableshapkaTABL"/>
              <w:rPr>
                <w:noProof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 xml:space="preserve">Сестра медична/ </w:t>
            </w:r>
            <w:r w:rsidRPr="009A08ED">
              <w:rPr>
                <w:noProof/>
                <w:sz w:val="12"/>
                <w:szCs w:val="12"/>
                <w:lang w:val="en-AU"/>
              </w:rPr>
              <w:br/>
              <w:t xml:space="preserve">брат медичний операційна </w:t>
            </w:r>
            <w:r w:rsidRPr="009A08ED">
              <w:rPr>
                <w:noProof/>
                <w:sz w:val="12"/>
                <w:szCs w:val="12"/>
                <w:lang w:val="en-AU"/>
              </w:rPr>
              <w:br/>
              <w:t>зі спеціалізацією «Хірургія»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03514" w:rsidRPr="009A08ED" w:rsidRDefault="00AE4BC9">
            <w:pPr>
              <w:pStyle w:val="TableshapkaTABL"/>
              <w:rPr>
                <w:noProof/>
                <w:lang w:val="en-AU"/>
              </w:rPr>
            </w:pPr>
            <w:r w:rsidRPr="009A08ED">
              <w:rPr>
                <w:noProof/>
                <w:sz w:val="12"/>
                <w:szCs w:val="12"/>
                <w:lang w:val="en-AU"/>
              </w:rPr>
              <w:t>Молодша медична сестра/ медичний брат</w:t>
            </w: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Базові реанімаційні заходи у дорослих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Негайні реанімаційні заходи у дорослих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Розширені реанімаційні заходи у дорослих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Базові реанімаційні заходи у дітей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+*</w:t>
            </w: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Негайні реанімаційні заходи у дітей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Розширені реанімаційні заходи у дітей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Надання допомоги травмованим на госпітальному етапі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Невідкладна допомога постраждалим із масивними травмами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Невідкладна сонографія травмованим постраждалим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pacing w:val="-6"/>
                <w:sz w:val="14"/>
                <w:szCs w:val="14"/>
                <w:lang w:val="en-AU"/>
              </w:rPr>
              <w:t>Хірургія контролю пошкоджень</w:t>
            </w:r>
            <w:r w:rsidRPr="009A08ED">
              <w:rPr>
                <w:noProof/>
                <w:sz w:val="14"/>
                <w:szCs w:val="14"/>
                <w:lang w:val="en-AU"/>
              </w:rPr>
              <w:t xml:space="preserve"> (хірургічний курс із використанням лабораторних </w:t>
            </w:r>
            <w:r w:rsidRPr="009A08ED">
              <w:rPr>
                <w:noProof/>
                <w:sz w:val="14"/>
                <w:szCs w:val="14"/>
                <w:lang w:val="en-AU"/>
              </w:rPr>
              <w:br/>
              <w:t>(або експериментальних) тварин)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Розширені хірургічні навички для оперативного доступу при травмі (кадаверний хірургічний курс)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 xml:space="preserve">Заходи ресусцитації та хірургічна допомога </w:t>
            </w:r>
            <w:r w:rsidRPr="009A08ED">
              <w:rPr>
                <w:noProof/>
                <w:sz w:val="14"/>
                <w:szCs w:val="14"/>
                <w:lang w:val="en-AU"/>
              </w:rPr>
              <w:lastRenderedPageBreak/>
              <w:t>в непристосованих умовах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lastRenderedPageBreak/>
              <w:t>+*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pacing w:val="-3"/>
                <w:sz w:val="14"/>
                <w:szCs w:val="14"/>
                <w:lang w:val="en-AU"/>
              </w:rPr>
              <w:t xml:space="preserve">Реанімаційна ендоваскулярна </w:t>
            </w:r>
            <w:r w:rsidRPr="009A08ED">
              <w:rPr>
                <w:noProof/>
                <w:sz w:val="14"/>
                <w:szCs w:val="14"/>
                <w:lang w:val="en-AU"/>
              </w:rPr>
              <w:t>оклюзія аорти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Основи трансфузійної терапії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03514" w:rsidRPr="009A08ED">
        <w:trPr>
          <w:trHeight w:val="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Тактична екстрена допомога постраждалим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AE4BC9">
            <w:pPr>
              <w:pStyle w:val="TableTABL"/>
              <w:jc w:val="center"/>
              <w:rPr>
                <w:noProof/>
                <w:lang w:val="en-AU"/>
              </w:rPr>
            </w:pPr>
            <w:r w:rsidRPr="009A08ED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03514" w:rsidRPr="009A08ED" w:rsidRDefault="00B035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</w:tbl>
    <w:p w:rsidR="00B03514" w:rsidRPr="009A08ED" w:rsidRDefault="00B03514">
      <w:pPr>
        <w:pStyle w:val="Ch61"/>
        <w:rPr>
          <w:noProof/>
          <w:lang w:val="en-AU"/>
        </w:rPr>
      </w:pP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6. Кодування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 xml:space="preserve">У цілях медичного планування, операційний модуль кодується відповідно кількості операційних столів таким чином: О / кількість операційних столів. </w:t>
      </w:r>
    </w:p>
    <w:p w:rsidR="00B03514" w:rsidRPr="009A08ED" w:rsidRDefault="00AE4BC9">
      <w:pPr>
        <w:pStyle w:val="Ch61"/>
        <w:rPr>
          <w:noProof/>
          <w:lang w:val="en-AU"/>
        </w:rPr>
      </w:pPr>
      <w:r w:rsidRPr="009A08ED">
        <w:rPr>
          <w:noProof/>
          <w:lang w:val="en-AU"/>
        </w:rPr>
        <w:t>Наприклад, операційний модуль на 2 столи буде кодуватися наступним чином: О / 2.</w:t>
      </w:r>
    </w:p>
    <w:p w:rsidR="00B03514" w:rsidRPr="009A08ED" w:rsidRDefault="00AE4BC9">
      <w:pPr>
        <w:pStyle w:val="PrimitkaPRIMITKA"/>
        <w:spacing w:after="0"/>
        <w:rPr>
          <w:noProof/>
          <w:lang w:val="en-AU"/>
        </w:rPr>
      </w:pPr>
      <w:bookmarkStart w:id="0" w:name="_GoBack"/>
      <w:r w:rsidRPr="00E95B3B">
        <w:rPr>
          <w:b/>
          <w:noProof/>
          <w:lang w:val="en-AU"/>
        </w:rPr>
        <w:t>Примітки:</w:t>
      </w:r>
      <w:bookmarkEnd w:id="0"/>
      <w:r w:rsidRPr="009A08ED">
        <w:rPr>
          <w:noProof/>
          <w:lang w:val="en-AU"/>
        </w:rPr>
        <w:tab/>
        <w:t>+ курси, рекомендовані для проходження відповідними особами в першу чергу.</w:t>
      </w:r>
    </w:p>
    <w:p w:rsidR="00B03514" w:rsidRPr="009A08ED" w:rsidRDefault="00AE4BC9">
      <w:pPr>
        <w:pStyle w:val="PrimitkaPRIMITKA"/>
        <w:spacing w:before="0" w:after="0"/>
        <w:rPr>
          <w:noProof/>
          <w:spacing w:val="1"/>
          <w:lang w:val="en-AU"/>
        </w:rPr>
      </w:pPr>
      <w:r w:rsidRPr="009A08ED">
        <w:rPr>
          <w:noProof/>
          <w:spacing w:val="1"/>
          <w:lang w:val="en-AU"/>
        </w:rPr>
        <w:tab/>
        <w:t>+* курси, рекомендовані для проходження у другу чергу, після завершення всіх курсів першої черги.</w:t>
      </w:r>
    </w:p>
    <w:p w:rsidR="00AE4BC9" w:rsidRPr="009A08ED" w:rsidRDefault="00AE4BC9" w:rsidP="00E01299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9A08ED">
        <w:rPr>
          <w:noProof/>
          <w:lang w:val="en-AU"/>
        </w:rPr>
        <w:tab/>
        <w:t>* При розгортанні операційного модуля з одним операційним столом допускається робота одного лікаря зі спеціалізацією за фахом «Ортопедія і травматологія» та одного лікаря зі спеціалізацією за фахом «Хірургія</w:t>
      </w:r>
      <w:r w:rsidR="00E01299" w:rsidRPr="009A08ED">
        <w:rPr>
          <w:noProof/>
          <w:lang w:val="en-AU"/>
        </w:rPr>
        <w:t>».</w:t>
      </w:r>
    </w:p>
    <w:sectPr w:rsidR="00AE4BC9" w:rsidRPr="009A08ED" w:rsidSect="00AE606A">
      <w:pgSz w:w="9071" w:h="13606"/>
      <w:pgMar w:top="567" w:right="567" w:bottom="709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08A"/>
    <w:rsid w:val="0014308A"/>
    <w:rsid w:val="009A08ED"/>
    <w:rsid w:val="00AE4BC9"/>
    <w:rsid w:val="00AE606A"/>
    <w:rsid w:val="00B03514"/>
    <w:rsid w:val="00E01299"/>
    <w:rsid w:val="00E9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BC762386-8A8C-4E85-9912-166DA109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6416</Words>
  <Characters>3658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5</cp:revision>
  <dcterms:created xsi:type="dcterms:W3CDTF">2025-10-03T08:58:00Z</dcterms:created>
  <dcterms:modified xsi:type="dcterms:W3CDTF">2025-10-03T12:31:00Z</dcterms:modified>
</cp:coreProperties>
</file>