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014" w:rsidRPr="0087372E" w:rsidRDefault="0038680D">
      <w:pPr>
        <w:pStyle w:val="Ch6"/>
        <w:ind w:left="4535"/>
        <w:rPr>
          <w:noProof/>
          <w:lang w:val="en-AU"/>
        </w:rPr>
      </w:pPr>
      <w:r w:rsidRPr="0087372E">
        <w:rPr>
          <w:noProof/>
          <w:lang w:val="en-AU"/>
        </w:rPr>
        <w:t>Додаток 5</w:t>
      </w:r>
      <w:r w:rsidRPr="0087372E">
        <w:rPr>
          <w:noProof/>
          <w:lang w:val="en-AU"/>
        </w:rPr>
        <w:br/>
        <w:t xml:space="preserve">до Стандарту модульного підходу </w:t>
      </w:r>
      <w:r w:rsidR="00DF4E48" w:rsidRPr="0087372E">
        <w:rPr>
          <w:rFonts w:asciiTheme="minorHAnsi" w:hAnsiTheme="minorHAnsi"/>
          <w:noProof/>
          <w:lang w:val="en-AU"/>
        </w:rPr>
        <w:br/>
      </w:r>
      <w:r w:rsidRPr="0087372E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DF4E48" w:rsidRPr="0087372E">
        <w:rPr>
          <w:rFonts w:asciiTheme="minorHAnsi" w:hAnsiTheme="minorHAnsi"/>
          <w:noProof/>
          <w:lang w:val="en-AU"/>
        </w:rPr>
        <w:br/>
      </w:r>
      <w:r w:rsidRPr="0087372E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87372E">
        <w:rPr>
          <w:noProof/>
          <w:lang w:val="en-AU"/>
        </w:rPr>
        <w:br/>
        <w:t>(пункт 7)</w:t>
      </w:r>
    </w:p>
    <w:p w:rsidR="00BE6014" w:rsidRPr="0087372E" w:rsidRDefault="0038680D">
      <w:pPr>
        <w:pStyle w:val="Ch60"/>
        <w:rPr>
          <w:noProof/>
          <w:lang w:val="en-AU"/>
        </w:rPr>
      </w:pPr>
      <w:r w:rsidRPr="0087372E">
        <w:rPr>
          <w:noProof/>
          <w:lang w:val="en-AU"/>
        </w:rPr>
        <w:t>Модуль невідкладних станів</w:t>
      </w:r>
    </w:p>
    <w:p w:rsidR="00BE6014" w:rsidRPr="0087372E" w:rsidRDefault="0038680D">
      <w:pPr>
        <w:pStyle w:val="Ch62"/>
        <w:spacing w:before="0"/>
        <w:rPr>
          <w:noProof/>
          <w:lang w:val="en-AU"/>
        </w:rPr>
      </w:pPr>
      <w:r w:rsidRPr="0087372E">
        <w:rPr>
          <w:noProof/>
          <w:lang w:val="en-AU"/>
        </w:rPr>
        <w:t>1. Спроможність</w:t>
      </w:r>
    </w:p>
    <w:p w:rsidR="00BE6014" w:rsidRPr="0087372E" w:rsidRDefault="0038680D">
      <w:pPr>
        <w:pStyle w:val="Ch61"/>
        <w:rPr>
          <w:noProof/>
          <w:spacing w:val="-3"/>
          <w:lang w:val="en-AU"/>
        </w:rPr>
      </w:pPr>
      <w:r w:rsidRPr="0087372E">
        <w:rPr>
          <w:noProof/>
          <w:spacing w:val="-3"/>
          <w:lang w:val="en-AU"/>
        </w:rPr>
        <w:t>Надання медичної допомоги при невідкладних станах травмованим та нетравмованим пацієнтам.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1) Опис основної спроможності модуля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Модуль невідкладних станів проводить огляд пацієнтів, здійснює оцінку загального стану та надає медичну допомогу постраждалим при невідкладних станах; здійснює підготовку до заходів медичної евакуації.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 разі необхідності здійснює надання медичної допомоги пацієнту в невідкладному стані включно з випадками з хімічними, біологічними, радіологічними та ядерними ураженнями.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2) Належність до ролей медичної підтримки</w:t>
      </w:r>
    </w:p>
    <w:p w:rsidR="00BE6014" w:rsidRPr="0087372E" w:rsidRDefault="0038680D">
      <w:pPr>
        <w:pStyle w:val="Ch61"/>
        <w:rPr>
          <w:noProof/>
          <w:spacing w:val="-4"/>
          <w:lang w:val="en-AU"/>
        </w:rPr>
      </w:pPr>
      <w:r w:rsidRPr="0087372E">
        <w:rPr>
          <w:noProof/>
          <w:spacing w:val="-4"/>
          <w:lang w:val="en-AU"/>
        </w:rPr>
        <w:t>Модуль невідкладних станів входить до складу таких ролей медичної підтримки: R1, R2F, R2B, R2E.</w:t>
      </w:r>
    </w:p>
    <w:p w:rsidR="00BE6014" w:rsidRPr="0087372E" w:rsidRDefault="0038680D">
      <w:pPr>
        <w:pStyle w:val="Ch62"/>
        <w:rPr>
          <w:noProof/>
          <w:lang w:val="en-AU"/>
        </w:rPr>
      </w:pPr>
      <w:r w:rsidRPr="0087372E">
        <w:rPr>
          <w:noProof/>
          <w:lang w:val="en-AU"/>
        </w:rPr>
        <w:t>2. Завдання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Відповідно до наказу № 598, мінімальний обсяг завдань модуля невідкладної медичної допомоги охоплює: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1) Надання медичної допомоги пацієнту в невідкладному стані: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проведення огляду за алгоритмом для травмованих / нетравмованих пацієнтів, оцінка загального стану та життєво важливих функцій, проведення та / або призначення лікування, оцінювання лабораторних обстежень та інструментальних досліджень (в тому числі сонографія при травмі);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установлення попереднього діагнозу та визначення необхідного обсягу допомоги (в тому числі призначення лікування) для найбільш поширених гострих інфекційних і неінфекційних хвороб, травм, отруєнь, патологічних станів;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надання допомоги в обсязі базових та розширених реанімаційних заходів травмованим та нетравмованим пацієнтам (в тому числі проведення ресусцитаційних заходів з (відтермінованим) контролем пошкоджень, трансфузії крові та / або компонентів крові тощо);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забезпечення седації та / або знеболення з використанням принципів мультимодальної анальгезії (оцінювання стану пацієнта в потребі седації та / або знеболенні, призначення та спостереження за їх рівнем з оцінкою ефективності);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проведення гемостазу та первинної обробки ран (для R1); виконання первинної хірургічної обробки ран, що не потребують загальної анестезії (для R2);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проведення та контроль заходів з іммобілізації;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забезпечення заходів з проведення вакцинації (наприклад, правця);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профілактика та лікування гіпо- та гіпертермії;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виконання встановлених вимог до надання медичної допомоги пацієнту з інфекційним захворюванням або підозрою на інфекційні захворювання;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підтримання комфорту та гігієни пацієнта;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2) Менеджмент ХБРЯ-контамінованих пацієнтів: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розпізнавання ХБРЯ-контамінованих пацієнтів;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проведення сортування ХБРЯ-контамінованих пацієнтів;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застосування підходів до надання медичної допомоги та алгоритмів огляду травмованих (включаючи ресусцитаційні заходи з (відтермінованим) контролем пошкоджень, проведенням знеболення / седації та інших необхідних заходів) та нетравмованих пацієнтів в невідкладному стані внаслідок застосування хімічного, біологічного, радіологічного та ядерного виду озброєння;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управління ризиками, пов’язаними з контамінованим пацієнтом (локалізація, деконтамінація та / або ізоляція);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3) Забезпечення підготовки до проведення заходів медичної евакуації пацієнтів: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підготовка пацієнта до транспортування;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lastRenderedPageBreak/>
        <w:t>підготовка необхідних медичних виробів / лікарських засобів тощо до проведення медичної евакуації;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роз’яснення пацієнту (якщо це можливо) заходів щодо його транспортування, з метою забезпечення його психологічного комфорту та розуміння процесу;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урахування обмежень та можливостей спеціалізованих санітарних транспортних засобів (наземного, повітряного та морського) до проведення медичної евакуації;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4) Організація та забезпечення функціонування модуля:</w:t>
      </w:r>
    </w:p>
    <w:p w:rsidR="00BE6014" w:rsidRPr="0087372E" w:rsidRDefault="0038680D">
      <w:pPr>
        <w:pStyle w:val="Ch61"/>
        <w:rPr>
          <w:noProof/>
          <w:spacing w:val="-3"/>
          <w:lang w:val="en-AU"/>
        </w:rPr>
      </w:pPr>
      <w:r w:rsidRPr="0087372E">
        <w:rPr>
          <w:noProof/>
          <w:spacing w:val="-3"/>
          <w:lang w:val="en-AU"/>
        </w:rPr>
        <w:t>підготовка, перевірка справності та готовності до використання медичних та немедичних виробів;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проведення дезінфекції та стерилізації медичних виробів при наявності доступу до функції стерилізації або у взаємодії з вищими Ролями, якщо інші способи забезпечення стерильності не передбачені;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регулярна перевірка (наявності та термінів придатності), своєчасне списання та підтримання рівнів запасу лікарських засобів, медичних виробів, донорської крові та компонентів крові, медичних газів тощо;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підтримка чистоти та порядку в модулі;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контроль за належною утилізацією медичних відходів (за можливості);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5) Виконання адміністративних функцій та обмін інформацією: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встановлення попереднього діагнозу та визначення потреби в госпіталізації / направлення пацієнта за наявності показань для отримання медичних послуг на визначену Роль (заклади охорони здоров’я чи підрозділи за попередньо визначеними маршрутами (евакуації) пацієнтів);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інформування медичних підрозділів приймаючої сторони та транспортних (евакуаційних) команд про стан пацієнта та надані медичні послуги для забезпечення вжиття необхідних заходів;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своєчасне та повноцінне ведення первинної облікової документації (в тому числі електронної при розгортанні медично-інформаційної системи) та забезпечення її наявності для належної передачі інформації про пацієнта;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дотримання визначених заходів у випадку смерті пацієнта;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інформування командира (начальника) МТФ стосовно обсягу потоку пацієнтів;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6) Реагування на ситуації при масовому надходженні постраждалих: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забезпечення необхідних заходів при масовому надходженні постраждалих;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організація та проведення медичного сортування.</w:t>
      </w:r>
    </w:p>
    <w:p w:rsidR="00BE6014" w:rsidRPr="0087372E" w:rsidRDefault="0038680D">
      <w:pPr>
        <w:pStyle w:val="Ch62"/>
        <w:rPr>
          <w:noProof/>
          <w:lang w:val="en-AU"/>
        </w:rPr>
      </w:pPr>
      <w:r w:rsidRPr="0087372E">
        <w:rPr>
          <w:noProof/>
          <w:lang w:val="en-AU"/>
        </w:rPr>
        <w:t>3. Структура і персонал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Модуль невідкладних станів (НС) поділяється на приймально-сортувальну, реанімаційну та загальномедичну зони (мала операційна і оглядова). Цей поділ є умовним, а кількість зон та їх функціональні можливості можуть змінюватися залежно від спроможностей і потреб МТФ.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Незалежно від структури модуля НС, його невід’ємною складовою є наявність реанімаційної зони та забезпечення реєстрації і сортування пацієнтів.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Кількість персоналу модуля може змінюватися залежно від тактичних умов та прогнозованого навантаження, проте це не повинно впливати на його визначену спроможність у наданні медичної допомоги при невідкладних станах.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Склад персоналу модуля формується відповідно до наступного переліку: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Приймально-сортувальна зона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Реєстратор медичний з повною або базовою загальною середньою освітою та підготовкою на робочому місці: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не менше одного на вхідний потік пацієнтів за добу до 100 осіб.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Лікар зі спеціалізацією за фахом «Медицина невідкладних станів»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або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Професіонал в галузі лікувальної справи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або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Фахівець за спеціальністю «Медсестринство» та спеціалізацією за фахом / дипломом «Екстрена медицина» (парамедик / фельдшер з медицини невідкладних станів):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не менше одного на вхідний потік пацієнтів за добу до 100 осіб.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Сестра медична / брат медичний за спеціальністю «Сестринська справа», «Лікувальна справа» або «Акушерська справа»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або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Фахівець за спеціальністю «Медсестринство» та спеціалізацією за фахом / дипломом «Екстрена медицина» (парамедик / фельдшер з медицини невідкладних станів):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не менше одного на вхідний потік пацієнтів за добу до 100 осіб.</w:t>
      </w:r>
    </w:p>
    <w:p w:rsidR="00BE6014" w:rsidRPr="0087372E" w:rsidRDefault="00BE6014">
      <w:pPr>
        <w:pStyle w:val="Ch61"/>
        <w:rPr>
          <w:noProof/>
          <w:lang w:val="en-AU"/>
        </w:rPr>
      </w:pP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Екстрений медичний технік (кваліфікаційне підтвердження):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lastRenderedPageBreak/>
        <w:t>не менше одного на вхідний потік пацієнтів за добу до 100 осіб (наявність рекомендована).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Молодша медична сестра / медичний брат: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не менше однієї / одного на вхідний потік пацієнтів за добу до 100 осіб.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Ресусцитаційна зона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Лікар зі спеціалізацією за фахом «Анестезіологія»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або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Лікар зі спеціалізацією за фахом «Медицина невідкладних станів»: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один на 1 ресусцитаційний стіл та не менше одного на 2 ресусцитаційних столи.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Фахівець за спеціальністю «Медсестринство» та спеціалізацією за фахом / дипломом «Екстрена медицина» (парамедик / фельдшер з медицини невідкладних станів)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або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Сестра медична / брат медичний-анестезист, спеціалізація за фахом «Анестезіологія та реаніматологія»: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одна / один на 1 ресусцитаційний стіл.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Сестра медична / брат медичний за спеціальністю «Сестринська справа», «Лікувальна справа» або «Акушерська справа»: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одна / один на 1 ресусцитаційний стіл та не менше однієї / одного на 2 ресусцитаційних столи.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Молодша медична сестра / медичний брат: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одна / один на 1 ресусцитаційний стіл та не менше однієї / одного на 2 ресусцитаційних столи.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Загальномедична зона: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Сестра медична / брат медичний за спеціальністю «Сестринська справа», «Лікувальна справа» або «Акушерська справа»: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одна / один на 1 функціональне ліжко/стіл та не менше ніж на 4 функціональних ліжка / столи.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Молодша медична сестра / медичний брат:</w:t>
      </w:r>
    </w:p>
    <w:p w:rsidR="00BE6014" w:rsidRPr="0087372E" w:rsidRDefault="0038680D">
      <w:pPr>
        <w:pStyle w:val="Ch61"/>
        <w:rPr>
          <w:noProof/>
          <w:spacing w:val="-2"/>
          <w:lang w:val="en-AU"/>
        </w:rPr>
      </w:pPr>
      <w:r w:rsidRPr="0087372E">
        <w:rPr>
          <w:noProof/>
          <w:spacing w:val="-2"/>
          <w:lang w:val="en-AU"/>
        </w:rPr>
        <w:t>одна / один на 1 функціональне ліжко / стіл та не менше однієї / одного на 4 функціональні ліжка/ стола.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До роботи в загальномедичній зоні долучається медичний персонал інших модулів, або додатково залучені медичні працівники.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 разі необхідності, залучення лікаря-хірурга, лікаря анестезіолога, сестри медичної / брата медичного-анестезиста зі спеціалізацією за фахом «Анестезіологія та реаніматологія» до участі в роботи в модулі невідкладних станів R1, рекомендовано за сприянням старшого медичного начальника здійснювати їхню ротацію на МТФ R2 незалежно від медичного підрозділу в якому проходить службу військовослужбовець.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За потреби до складу персоналу модуля можуть залучатися додаткові медичні спеціалісти, які відповідають рекомендаціям щодо підготовки медичного персоналу та володіють навичками, необхідними для виконання завдань модуля.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 разі необхідності, за погодженням із безпосередніми командирами та командуванням військової частини, в інтересах якої працює відповідний модуль, може залучатися особовий склад без медичної освіти для посилення ланки молодших медичних працівників (молодша медична сестра/ медичний брат).</w:t>
      </w:r>
    </w:p>
    <w:p w:rsidR="00BE6014" w:rsidRPr="0087372E" w:rsidRDefault="0038680D">
      <w:pPr>
        <w:pStyle w:val="Ch62"/>
        <w:rPr>
          <w:noProof/>
          <w:lang w:val="en-AU"/>
        </w:rPr>
      </w:pPr>
      <w:r w:rsidRPr="0087372E">
        <w:rPr>
          <w:noProof/>
          <w:lang w:val="en-AU"/>
        </w:rPr>
        <w:t>4. Розрахункова пропускна здатність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Розрахункова пропускна здатність однієї ресусцитаційної команди становить до 10, а у період пікового навантаження до 20 пацієнтів на добу.</w:t>
      </w:r>
    </w:p>
    <w:p w:rsidR="00BE6014" w:rsidRPr="0087372E" w:rsidRDefault="0038680D">
      <w:pPr>
        <w:pStyle w:val="Ch62"/>
        <w:spacing w:after="0"/>
        <w:rPr>
          <w:noProof/>
          <w:lang w:val="en-AU"/>
        </w:rPr>
      </w:pPr>
      <w:r w:rsidRPr="0087372E">
        <w:rPr>
          <w:noProof/>
          <w:lang w:val="en-AU"/>
        </w:rPr>
        <w:t>5. Рекомендації щодо підготовки персоналу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1020"/>
        <w:gridCol w:w="1021"/>
        <w:gridCol w:w="1020"/>
        <w:gridCol w:w="1077"/>
        <w:gridCol w:w="1021"/>
        <w:gridCol w:w="840"/>
      </w:tblGrid>
      <w:tr w:rsidR="00BE6014" w:rsidRPr="0087372E">
        <w:trPr>
          <w:trHeight w:val="1248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BE6014" w:rsidRPr="0087372E" w:rsidRDefault="0038680D">
            <w:pPr>
              <w:pStyle w:val="TableshapkaTABL"/>
              <w:jc w:val="right"/>
              <w:rPr>
                <w:noProof/>
                <w:sz w:val="12"/>
                <w:szCs w:val="12"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>Категорія персоналу</w:t>
            </w: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BE6014">
            <w:pPr>
              <w:pStyle w:val="TableshapkaTABL"/>
              <w:jc w:val="left"/>
              <w:rPr>
                <w:noProof/>
                <w:sz w:val="12"/>
                <w:szCs w:val="12"/>
                <w:lang w:val="en-AU"/>
              </w:rPr>
            </w:pPr>
          </w:p>
          <w:p w:rsidR="00BE6014" w:rsidRPr="0087372E" w:rsidRDefault="0038680D">
            <w:pPr>
              <w:pStyle w:val="TableshapkaTABL"/>
              <w:jc w:val="left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 xml:space="preserve">Навчальний курс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E6014" w:rsidRPr="0087372E" w:rsidRDefault="0038680D">
            <w:pPr>
              <w:pStyle w:val="TableshapkaTABL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 xml:space="preserve">Лікар </w:t>
            </w:r>
            <w:r w:rsidRPr="0087372E">
              <w:rPr>
                <w:noProof/>
                <w:sz w:val="12"/>
                <w:szCs w:val="12"/>
                <w:lang w:val="en-AU"/>
              </w:rPr>
              <w:br/>
              <w:t>зі спеціалізацією «Анестезіологія»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E6014" w:rsidRPr="0087372E" w:rsidRDefault="0038680D">
            <w:pPr>
              <w:pStyle w:val="TableshapkaTABL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 xml:space="preserve">Лікар </w:t>
            </w:r>
            <w:r w:rsidRPr="0087372E">
              <w:rPr>
                <w:noProof/>
                <w:sz w:val="12"/>
                <w:szCs w:val="12"/>
                <w:lang w:val="en-AU"/>
              </w:rPr>
              <w:br/>
              <w:t>зі спеціалізацією «Медицина невідкладних станів»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E6014" w:rsidRPr="0087372E" w:rsidRDefault="0038680D">
            <w:pPr>
              <w:pStyle w:val="TableshapkaTABL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 xml:space="preserve">Фахівець </w:t>
            </w:r>
            <w:r w:rsidRPr="0087372E">
              <w:rPr>
                <w:noProof/>
                <w:sz w:val="12"/>
                <w:szCs w:val="12"/>
                <w:lang w:val="en-AU"/>
              </w:rPr>
              <w:br/>
              <w:t>зі спеціалізацією «Екстрена медицина»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E6014" w:rsidRPr="0087372E" w:rsidRDefault="0038680D">
            <w:pPr>
              <w:pStyle w:val="TableshapkaTABL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 xml:space="preserve">Сестра медична/ </w:t>
            </w:r>
            <w:r w:rsidRPr="0087372E">
              <w:rPr>
                <w:noProof/>
                <w:sz w:val="12"/>
                <w:szCs w:val="12"/>
                <w:lang w:val="en-AU"/>
              </w:rPr>
              <w:br/>
              <w:t xml:space="preserve">брат медичний-анестезист </w:t>
            </w:r>
            <w:r w:rsidRPr="0087372E">
              <w:rPr>
                <w:noProof/>
                <w:sz w:val="12"/>
                <w:szCs w:val="12"/>
                <w:lang w:val="en-AU"/>
              </w:rPr>
              <w:br/>
              <w:t>зі спеціалізацією «Анестезіологія та реаніматологія»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E6014" w:rsidRPr="0087372E" w:rsidRDefault="0038680D">
            <w:pPr>
              <w:pStyle w:val="TableshapkaTABL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>Сестра медична/ брат медичний зі спеціалізацією «Лікувальна справа», «Сестринська справа», «Акушерська справа»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BE6014" w:rsidRPr="0087372E" w:rsidRDefault="0038680D">
            <w:pPr>
              <w:pStyle w:val="TableshapkaTABL"/>
              <w:rPr>
                <w:noProof/>
                <w:lang w:val="en-AU"/>
              </w:rPr>
            </w:pPr>
            <w:r w:rsidRPr="0087372E">
              <w:rPr>
                <w:noProof/>
                <w:sz w:val="12"/>
                <w:szCs w:val="12"/>
                <w:lang w:val="en-AU"/>
              </w:rPr>
              <w:t>Персонал без освіти в галузі знань «Охорона здоров’я»</w:t>
            </w: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Базові реанімаційні заходи у дорослих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Негайні реанімаційні заходи у дорослих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Розширені реанімаційні заходи у дорослих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lastRenderedPageBreak/>
              <w:t>Базові реанімаційні заходи у дітей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Негайні реанімаційні заходи у дітей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Розширені реанімаційні заходи у дітей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Надання допомоги травмованим на догоспітальному етапі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Надання допомоги травмованим на госпітальному етапі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Невідкладна допомога постраждалим із масивними травмами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Невідкладна сонографія травмованим постраждалим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 xml:space="preserve">Реанімаційна ендоваскулярна </w:t>
            </w:r>
            <w:r w:rsidRPr="0087372E">
              <w:rPr>
                <w:noProof/>
                <w:sz w:val="14"/>
                <w:szCs w:val="14"/>
                <w:lang w:val="en-AU"/>
              </w:rPr>
              <w:br/>
              <w:t>оклюзія аорти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pacing w:val="-4"/>
                <w:sz w:val="14"/>
                <w:szCs w:val="14"/>
                <w:lang w:val="en-AU"/>
              </w:rPr>
              <w:t>Основи трансфузійної терапії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+*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 xml:space="preserve">Надання допомоги </w:t>
            </w:r>
            <w:r w:rsidRPr="0087372E">
              <w:rPr>
                <w:noProof/>
                <w:sz w:val="14"/>
                <w:szCs w:val="14"/>
                <w:lang w:val="en-AU"/>
              </w:rPr>
              <w:br/>
              <w:t>при хімічних, біологічних, радіологічних та ядерних (ХБРЯ) ураженнях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Надання допомоги в умовах масового випадку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Транспортування критичного пацієнта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  <w:tr w:rsidR="00BE6014" w:rsidRPr="0087372E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Тактична екстрена допомога постраждалим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38680D">
            <w:pPr>
              <w:pStyle w:val="TableTABL"/>
              <w:jc w:val="center"/>
              <w:rPr>
                <w:noProof/>
                <w:lang w:val="en-AU"/>
              </w:rPr>
            </w:pPr>
            <w:r w:rsidRPr="0087372E">
              <w:rPr>
                <w:noProof/>
                <w:sz w:val="14"/>
                <w:szCs w:val="14"/>
                <w:lang w:val="en-AU"/>
              </w:rPr>
              <w:t>+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E6014" w:rsidRPr="0087372E" w:rsidRDefault="00BE6014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</w:tr>
    </w:tbl>
    <w:p w:rsidR="00BE6014" w:rsidRPr="0087372E" w:rsidRDefault="00BE6014">
      <w:pPr>
        <w:pStyle w:val="Ch61"/>
        <w:rPr>
          <w:noProof/>
          <w:lang w:val="en-AU"/>
        </w:rPr>
      </w:pP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6. Кодування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У цілях медичного планування, модуль невідкладних станів кодується відповідно до кількості ресусцитаційних столів таким чином: НС / кількість столів.</w:t>
      </w:r>
    </w:p>
    <w:p w:rsidR="00BE6014" w:rsidRPr="0087372E" w:rsidRDefault="0038680D">
      <w:pPr>
        <w:pStyle w:val="Ch61"/>
        <w:rPr>
          <w:noProof/>
          <w:lang w:val="en-AU"/>
        </w:rPr>
      </w:pPr>
      <w:r w:rsidRPr="0087372E">
        <w:rPr>
          <w:noProof/>
          <w:lang w:val="en-AU"/>
        </w:rPr>
        <w:t>Наприклад, модуль невідкладних станів на 2 столи буде кодуватися таким чином: НС/2.</w:t>
      </w:r>
    </w:p>
    <w:p w:rsidR="00BE6014" w:rsidRPr="0087372E" w:rsidRDefault="0038680D">
      <w:pPr>
        <w:pStyle w:val="PrimitkaPRIMITKA"/>
        <w:spacing w:before="170" w:after="0"/>
        <w:rPr>
          <w:noProof/>
          <w:lang w:val="en-AU"/>
        </w:rPr>
      </w:pPr>
      <w:bookmarkStart w:id="0" w:name="_GoBack"/>
      <w:r w:rsidRPr="00995CD2">
        <w:rPr>
          <w:b/>
          <w:noProof/>
          <w:lang w:val="en-AU"/>
        </w:rPr>
        <w:t>Примітки:</w:t>
      </w:r>
      <w:bookmarkEnd w:id="0"/>
      <w:r w:rsidRPr="0087372E">
        <w:rPr>
          <w:noProof/>
          <w:lang w:val="en-AU"/>
        </w:rPr>
        <w:tab/>
        <w:t>+ курси, рекомендовані для проходження відповідними особами в першу чергу.</w:t>
      </w:r>
    </w:p>
    <w:p w:rsidR="0038680D" w:rsidRPr="0087372E" w:rsidRDefault="0038680D" w:rsidP="00D54C9F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87372E">
        <w:rPr>
          <w:noProof/>
          <w:lang w:val="en-AU"/>
        </w:rPr>
        <w:tab/>
        <w:t>+* курси, рекомендовані для проходження у другу чергу, після завершення всіх курсів першої черги</w:t>
      </w:r>
      <w:r w:rsidR="00D54C9F" w:rsidRPr="0087372E">
        <w:rPr>
          <w:noProof/>
          <w:lang w:val="en-AU"/>
        </w:rPr>
        <w:t>.</w:t>
      </w:r>
    </w:p>
    <w:sectPr w:rsidR="0038680D" w:rsidRPr="0087372E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E03"/>
    <w:rsid w:val="002B2E03"/>
    <w:rsid w:val="0038680D"/>
    <w:rsid w:val="00651F85"/>
    <w:rsid w:val="0087372E"/>
    <w:rsid w:val="00995CD2"/>
    <w:rsid w:val="00BE6014"/>
    <w:rsid w:val="00D54C9F"/>
    <w:rsid w:val="00DF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78BE584-A87E-4A57-88BC-CE1BD30A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7440</Words>
  <Characters>4242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6</cp:revision>
  <dcterms:created xsi:type="dcterms:W3CDTF">2025-10-03T09:03:00Z</dcterms:created>
  <dcterms:modified xsi:type="dcterms:W3CDTF">2025-10-03T12:32:00Z</dcterms:modified>
</cp:coreProperties>
</file>