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99" w:rsidRPr="00AE1CBB" w:rsidRDefault="00CE6843">
      <w:pPr>
        <w:pStyle w:val="Ch6"/>
        <w:ind w:left="4535"/>
        <w:rPr>
          <w:noProof/>
          <w:lang w:val="en-AU"/>
        </w:rPr>
      </w:pPr>
      <w:r w:rsidRPr="00AE1CBB">
        <w:rPr>
          <w:noProof/>
          <w:lang w:val="en-AU"/>
        </w:rPr>
        <w:t>Додаток 7</w:t>
      </w:r>
      <w:r w:rsidRPr="00AE1CBB">
        <w:rPr>
          <w:noProof/>
          <w:lang w:val="en-AU"/>
        </w:rPr>
        <w:br/>
        <w:t xml:space="preserve">до Стандарту модульного підходу </w:t>
      </w:r>
      <w:r w:rsidR="005C2E81" w:rsidRPr="00AE1CBB">
        <w:rPr>
          <w:rFonts w:asciiTheme="minorHAnsi" w:hAnsiTheme="minorHAnsi"/>
          <w:noProof/>
          <w:lang w:val="en-AU"/>
        </w:rPr>
        <w:br/>
      </w:r>
      <w:r w:rsidRPr="00AE1CBB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5C2E81" w:rsidRPr="00AE1CBB">
        <w:rPr>
          <w:rFonts w:asciiTheme="minorHAnsi" w:hAnsiTheme="minorHAnsi"/>
          <w:noProof/>
          <w:lang w:val="en-AU"/>
        </w:rPr>
        <w:br/>
      </w:r>
      <w:r w:rsidRPr="00AE1CBB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AE1CBB">
        <w:rPr>
          <w:noProof/>
          <w:lang w:val="en-AU"/>
        </w:rPr>
        <w:br/>
        <w:t>(пункт 7)</w:t>
      </w:r>
    </w:p>
    <w:p w:rsidR="005D6599" w:rsidRPr="00AE1CBB" w:rsidRDefault="00CE6843">
      <w:pPr>
        <w:pStyle w:val="Ch60"/>
        <w:rPr>
          <w:noProof/>
          <w:lang w:val="en-AU"/>
        </w:rPr>
      </w:pPr>
      <w:r w:rsidRPr="00AE1CBB">
        <w:rPr>
          <w:noProof/>
          <w:lang w:val="en-AU"/>
        </w:rPr>
        <w:t>Модуль діагностичний</w:t>
      </w:r>
    </w:p>
    <w:p w:rsidR="005D6599" w:rsidRPr="00AE1CBB" w:rsidRDefault="00CE6843">
      <w:pPr>
        <w:pStyle w:val="Ch62"/>
        <w:spacing w:before="0"/>
        <w:rPr>
          <w:noProof/>
          <w:lang w:val="en-AU"/>
        </w:rPr>
      </w:pPr>
      <w:r w:rsidRPr="00AE1CBB">
        <w:rPr>
          <w:noProof/>
          <w:lang w:val="en-AU"/>
        </w:rPr>
        <w:t>1. Спроможність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Проведення лабораторних обстежень та інструментальних досліджень.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1) Опис основної спроможності модуля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Модуль діагностичний призначений для виконання лабораторних та інструментальних досліджень (сонографія, рентгенографія), які не передбачені спроможностями інших модулів.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2) Належність до ролей медичної підтримки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Рекомендована наявність діагностичного модуля у складі наступних ролей медичної підтримки: R2B, R2E.</w:t>
      </w:r>
    </w:p>
    <w:p w:rsidR="005D6599" w:rsidRPr="00AE1CBB" w:rsidRDefault="00CE6843">
      <w:pPr>
        <w:pStyle w:val="Ch62"/>
        <w:rPr>
          <w:noProof/>
          <w:lang w:val="en-AU"/>
        </w:rPr>
      </w:pPr>
      <w:r w:rsidRPr="00AE1CBB">
        <w:rPr>
          <w:noProof/>
          <w:lang w:val="en-AU"/>
        </w:rPr>
        <w:t>2. Завдання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Відповідно до наказу № 598, мінімальний обсяг завдань модуля діагностики включає виконання таких лабораторних досліджень: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1) Проведення інструментальних досліджень і лабораторних обстежень: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проведення рентгенологічних досліджень з дотриманням відповідних вимог захисту пацієнта та особового складу;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проведення ультразвукових досліджень;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проведення лабораторних обстежень (збір, аналіз і реєстрація результатів);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проведення ендоскопічних методів дослідження (гастродуоденоскопія для R2E);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виконання встановлених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підтримання комфорту та гігієни пацієнта;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2) Організація та забезпечення функціонування модуля:</w:t>
      </w:r>
    </w:p>
    <w:p w:rsidR="005D6599" w:rsidRPr="00AE1CBB" w:rsidRDefault="00CE6843">
      <w:pPr>
        <w:pStyle w:val="Ch61"/>
        <w:rPr>
          <w:noProof/>
          <w:spacing w:val="-3"/>
          <w:lang w:val="en-AU"/>
        </w:rPr>
      </w:pPr>
      <w:r w:rsidRPr="00AE1CBB">
        <w:rPr>
          <w:noProof/>
          <w:spacing w:val="-3"/>
          <w:lang w:val="en-AU"/>
        </w:rPr>
        <w:t>підготовка, перевірка справності та готовності до використання медичних та немедичних виробів;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проведення дезінфекції та стерилізації медичних виробів за 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виробів, тощо;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підтримка чистоти та порядку в модулі;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виконання (або забезпечення доступу до) базового технічного обслуговування лабораторного та рентгенографічного обладнання;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3) Виконання адміністративних функцій та обмін інформацією: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своєчасне та повноцінне ведення первинної облікової документації (в тому числі електронної при розгортанні медично-інформаційної системи) та забезпечення її наявності для належної передачі інформації про пацієнта;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4) Реагування на ситуації при масовому надходженні постраждалих: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забезпечення необхідних заходів при масовому надходженні постраждалих.</w:t>
      </w:r>
    </w:p>
    <w:p w:rsidR="005D6599" w:rsidRPr="00AE1CBB" w:rsidRDefault="00CE6843">
      <w:pPr>
        <w:pStyle w:val="Ch62"/>
        <w:rPr>
          <w:noProof/>
          <w:lang w:val="en-AU"/>
        </w:rPr>
      </w:pPr>
      <w:r w:rsidRPr="00AE1CBB">
        <w:rPr>
          <w:noProof/>
          <w:lang w:val="en-AU"/>
        </w:rPr>
        <w:t>3. Структура та персонал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Склад персоналу модуля формується відповідно до такого переліку: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Лікар зі спеціалізацією з «Ультразвукової діагностики»: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рекомендовано для МТФ R2Е.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Фахівець зі спеціальністю «Лабораторна діагностика», спеціалізація за фахом «Клінічна діагностика»: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не менше одного в разі виконання лабораторних досліджень в МТФ.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lastRenderedPageBreak/>
        <w:t>За відсутності вказаного фахівця, за рішенням командира МТФ проведення лабораторної діагностики покладається на визначену особу зі складу МТФ за умови використання повністю автоматизованого обладнання.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Фахівець зі спеціальністю «Лабораторна діагностика», спеціалізація за фахом «Рентгенологія»: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не менше одного в разі виконання рентгенологічних обстежень в МТФ.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За відсутності вказаного фахівця, за рішенням командира МТФ проведення рентгенологічних досліджень покладається на визначену особу зі складу МТФ за умови проходження відповідного навчання.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Особливістю діагностичного модуля є використання його обладнання для обстеження пацієнтів, які отримують медичну допомогу в інших модулях, що входять до складу МТФ.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Персонал діагностичного модуля виконує завдання, поставлені медичним персоналом інших модулів.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Для виконання ультразвукових досліджень допускається залучення персоналу, який має відповідні навички згідно з освітньо-кваліфікаційним рівнем та / або пройшов спеціалізоване навчання.</w:t>
      </w:r>
    </w:p>
    <w:p w:rsidR="005D6599" w:rsidRPr="00AE1CBB" w:rsidRDefault="00CE6843">
      <w:pPr>
        <w:pStyle w:val="Ch62"/>
        <w:rPr>
          <w:noProof/>
          <w:lang w:val="en-AU"/>
        </w:rPr>
      </w:pPr>
      <w:r w:rsidRPr="00AE1CBB">
        <w:rPr>
          <w:noProof/>
          <w:lang w:val="en-AU"/>
        </w:rPr>
        <w:t>4. Рекомендації щодо підготовки персоналу модуля</w:t>
      </w: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8"/>
        <w:gridCol w:w="2376"/>
        <w:gridCol w:w="2376"/>
      </w:tblGrid>
      <w:tr w:rsidR="005D6599" w:rsidRPr="00AE1CBB">
        <w:trPr>
          <w:trHeight w:val="28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shapkaTABL"/>
              <w:jc w:val="right"/>
              <w:rPr>
                <w:noProof/>
                <w:sz w:val="14"/>
                <w:szCs w:val="14"/>
                <w:lang w:val="en-AU"/>
              </w:rPr>
            </w:pPr>
            <w:r w:rsidRPr="00AE1CBB">
              <w:rPr>
                <w:noProof/>
                <w:sz w:val="14"/>
                <w:szCs w:val="14"/>
                <w:lang w:val="en-AU"/>
              </w:rPr>
              <w:t>Категорія персоналу</w:t>
            </w:r>
          </w:p>
          <w:p w:rsidR="005D6599" w:rsidRPr="00AE1CBB" w:rsidRDefault="00CE6843">
            <w:pPr>
              <w:pStyle w:val="TableshapkaTABL"/>
              <w:jc w:val="left"/>
              <w:rPr>
                <w:noProof/>
                <w:lang w:val="en-AU"/>
              </w:rPr>
            </w:pPr>
            <w:r w:rsidRPr="00AE1CBB">
              <w:rPr>
                <w:noProof/>
                <w:sz w:val="14"/>
                <w:szCs w:val="14"/>
                <w:lang w:val="en-AU"/>
              </w:rPr>
              <w:t>Навчальний курс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5D6599" w:rsidRPr="00AE1CBB" w:rsidRDefault="00CE6843">
            <w:pPr>
              <w:pStyle w:val="TableshapkaTABL"/>
              <w:rPr>
                <w:noProof/>
                <w:lang w:val="en-AU"/>
              </w:rPr>
            </w:pPr>
            <w:r w:rsidRPr="00AE1CBB">
              <w:rPr>
                <w:noProof/>
                <w:sz w:val="14"/>
                <w:szCs w:val="14"/>
                <w:lang w:val="en-AU"/>
              </w:rPr>
              <w:t xml:space="preserve">Професіонали </w:t>
            </w:r>
            <w:r w:rsidRPr="00AE1CBB">
              <w:rPr>
                <w:noProof/>
                <w:sz w:val="14"/>
                <w:szCs w:val="14"/>
                <w:lang w:val="en-AU"/>
              </w:rPr>
              <w:br/>
              <w:t>в галузі медицини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5D6599" w:rsidRPr="00AE1CBB" w:rsidRDefault="00CE6843">
            <w:pPr>
              <w:pStyle w:val="TableshapkaTABL"/>
              <w:rPr>
                <w:noProof/>
                <w:lang w:val="en-AU"/>
              </w:rPr>
            </w:pPr>
            <w:r w:rsidRPr="00AE1CBB">
              <w:rPr>
                <w:noProof/>
                <w:sz w:val="14"/>
                <w:szCs w:val="14"/>
                <w:lang w:val="en-AU"/>
              </w:rPr>
              <w:t xml:space="preserve">Фахівці в галузі знань </w:t>
            </w:r>
            <w:r w:rsidRPr="00AE1CBB">
              <w:rPr>
                <w:noProof/>
                <w:sz w:val="14"/>
                <w:szCs w:val="14"/>
                <w:lang w:val="en-AU"/>
              </w:rPr>
              <w:br/>
              <w:t>«Охорона здоров’я»</w:t>
            </w:r>
          </w:p>
        </w:tc>
      </w:tr>
      <w:tr w:rsidR="005D6599" w:rsidRPr="00AE1CBB">
        <w:trPr>
          <w:trHeight w:val="28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jc w:val="center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jc w:val="center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5D6599" w:rsidRPr="00AE1CBB">
        <w:trPr>
          <w:trHeight w:val="28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jc w:val="center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jc w:val="center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+*</w:t>
            </w:r>
          </w:p>
        </w:tc>
      </w:tr>
      <w:tr w:rsidR="005D6599" w:rsidRPr="00AE1CBB">
        <w:trPr>
          <w:trHeight w:val="28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5D6599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D6599" w:rsidRPr="00AE1CBB" w:rsidRDefault="00CE6843">
            <w:pPr>
              <w:pStyle w:val="TableTABL"/>
              <w:jc w:val="center"/>
              <w:rPr>
                <w:noProof/>
                <w:lang w:val="en-AU"/>
              </w:rPr>
            </w:pPr>
            <w:r w:rsidRPr="00AE1CBB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</w:tbl>
    <w:p w:rsidR="005D6599" w:rsidRPr="00AE1CBB" w:rsidRDefault="005D6599">
      <w:pPr>
        <w:pStyle w:val="Ch61"/>
        <w:rPr>
          <w:noProof/>
          <w:lang w:val="en-AU"/>
        </w:rPr>
      </w:pPr>
    </w:p>
    <w:p w:rsidR="005D6599" w:rsidRPr="00AE1CBB" w:rsidRDefault="00CE6843">
      <w:pPr>
        <w:pStyle w:val="Ch62"/>
        <w:rPr>
          <w:noProof/>
          <w:lang w:val="en-AU"/>
        </w:rPr>
      </w:pPr>
      <w:r w:rsidRPr="00AE1CBB">
        <w:rPr>
          <w:noProof/>
          <w:lang w:val="en-AU"/>
        </w:rPr>
        <w:t>5. Кодування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Для досягнення цілей медичного планування, діагностичний модуль кодується відповідно до доступних методів діагностики таким чином: Діаг / лабораторні обстеження / ультразвукові дослідження / рентгенологічні дослідження.</w:t>
      </w:r>
    </w:p>
    <w:p w:rsidR="005D6599" w:rsidRPr="00AE1CBB" w:rsidRDefault="00CE6843">
      <w:pPr>
        <w:pStyle w:val="Ch61"/>
        <w:rPr>
          <w:noProof/>
          <w:lang w:val="en-AU"/>
        </w:rPr>
      </w:pPr>
      <w:r w:rsidRPr="00AE1CBB">
        <w:rPr>
          <w:noProof/>
          <w:lang w:val="en-AU"/>
        </w:rPr>
        <w:t>Наприклад, діагностичний модуль з лабораторним обстеженням, ультразвуковою та рентгенологічною діагностикою буде кодуватися таким чином: Діаг/Л/У/Р.</w:t>
      </w:r>
    </w:p>
    <w:p w:rsidR="005D6599" w:rsidRPr="00AE1CBB" w:rsidRDefault="00CE6843">
      <w:pPr>
        <w:pStyle w:val="PrimitkaPRIMITKA"/>
        <w:spacing w:before="170" w:after="0"/>
        <w:rPr>
          <w:noProof/>
          <w:lang w:val="en-AU"/>
        </w:rPr>
      </w:pPr>
      <w:bookmarkStart w:id="0" w:name="_GoBack"/>
      <w:r w:rsidRPr="009E49F5">
        <w:rPr>
          <w:b/>
          <w:noProof/>
          <w:lang w:val="en-AU"/>
        </w:rPr>
        <w:t>Примітки:</w:t>
      </w:r>
      <w:bookmarkEnd w:id="0"/>
      <w:r w:rsidRPr="00AE1CBB">
        <w:rPr>
          <w:noProof/>
          <w:lang w:val="en-AU"/>
        </w:rPr>
        <w:tab/>
        <w:t>+ курси, рекомендовані для проходження відповідними особами в першу чергу.</w:t>
      </w:r>
    </w:p>
    <w:p w:rsidR="00CE6843" w:rsidRPr="00AE1CBB" w:rsidRDefault="00CE6843" w:rsidP="002132E2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AE1CBB">
        <w:rPr>
          <w:noProof/>
          <w:lang w:val="en-AU"/>
        </w:rPr>
        <w:tab/>
        <w:t>+* курси, рекомендовані для проходження у другу чергу, після завершення всіх курсів першої черги</w:t>
      </w:r>
      <w:r w:rsidR="002132E2" w:rsidRPr="00AE1CBB">
        <w:rPr>
          <w:noProof/>
          <w:lang w:val="en-AU"/>
        </w:rPr>
        <w:t>.</w:t>
      </w:r>
    </w:p>
    <w:sectPr w:rsidR="00CE6843" w:rsidRPr="00AE1CBB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BB4"/>
    <w:rsid w:val="002132E2"/>
    <w:rsid w:val="00257BB4"/>
    <w:rsid w:val="005C2E81"/>
    <w:rsid w:val="005D6599"/>
    <w:rsid w:val="009E49F5"/>
    <w:rsid w:val="00AE1CBB"/>
    <w:rsid w:val="00CE6843"/>
    <w:rsid w:val="00D4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37C6428-04F6-4097-AD23-7C92A334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3110</Words>
  <Characters>1774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7</cp:revision>
  <dcterms:created xsi:type="dcterms:W3CDTF">2025-10-03T09:16:00Z</dcterms:created>
  <dcterms:modified xsi:type="dcterms:W3CDTF">2025-10-03T12:32:00Z</dcterms:modified>
</cp:coreProperties>
</file>