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391A" w:rsidRPr="00611B73" w:rsidRDefault="00D5618A">
      <w:pPr>
        <w:pStyle w:val="Ch6"/>
        <w:ind w:left="4535"/>
        <w:rPr>
          <w:noProof/>
          <w:lang w:val="en-AU"/>
        </w:rPr>
      </w:pPr>
      <w:r w:rsidRPr="00611B73">
        <w:rPr>
          <w:noProof/>
          <w:lang w:val="en-AU"/>
        </w:rPr>
        <w:t>Додаток 8</w:t>
      </w:r>
      <w:r w:rsidRPr="00611B73">
        <w:rPr>
          <w:noProof/>
          <w:lang w:val="en-AU"/>
        </w:rPr>
        <w:br/>
        <w:t xml:space="preserve">до Стандарту модульного підходу </w:t>
      </w:r>
      <w:r w:rsidR="001D456F" w:rsidRPr="00611B73">
        <w:rPr>
          <w:rFonts w:asciiTheme="minorHAnsi" w:hAnsiTheme="minorHAnsi"/>
          <w:noProof/>
          <w:lang w:val="en-AU"/>
        </w:rPr>
        <w:br/>
      </w:r>
      <w:r w:rsidRPr="00611B73">
        <w:rPr>
          <w:noProof/>
          <w:lang w:val="en-AU"/>
        </w:rPr>
        <w:t xml:space="preserve">до організації надання медичної допомоги на догоспітальному етапі, яка надається </w:t>
      </w:r>
      <w:r w:rsidR="001D456F" w:rsidRPr="00611B73">
        <w:rPr>
          <w:rFonts w:asciiTheme="minorHAnsi" w:hAnsiTheme="minorHAnsi"/>
          <w:noProof/>
          <w:lang w:val="en-AU"/>
        </w:rPr>
        <w:br/>
      </w:r>
      <w:r w:rsidRPr="00611B73">
        <w:rPr>
          <w:noProof/>
          <w:lang w:val="en-AU"/>
        </w:rPr>
        <w:t>під час ведення воєнних (бойових) дій та підготовки сил безпеки і сил оборони до застосування за призначенням</w:t>
      </w:r>
      <w:r w:rsidRPr="00611B73">
        <w:rPr>
          <w:noProof/>
          <w:lang w:val="en-AU"/>
        </w:rPr>
        <w:br/>
        <w:t>(пункт 7)</w:t>
      </w:r>
    </w:p>
    <w:p w:rsidR="00AF391A" w:rsidRPr="00611B73" w:rsidRDefault="00D5618A">
      <w:pPr>
        <w:pStyle w:val="Ch60"/>
        <w:spacing w:before="227"/>
        <w:rPr>
          <w:noProof/>
          <w:lang w:val="en-AU"/>
        </w:rPr>
      </w:pPr>
      <w:r w:rsidRPr="00611B73">
        <w:rPr>
          <w:noProof/>
          <w:lang w:val="en-AU"/>
        </w:rPr>
        <w:t>Модуль первинної медичної допомоги</w:t>
      </w:r>
    </w:p>
    <w:p w:rsidR="00AF391A" w:rsidRPr="00611B73" w:rsidRDefault="00D5618A">
      <w:pPr>
        <w:pStyle w:val="Ch62"/>
        <w:spacing w:before="0"/>
        <w:rPr>
          <w:noProof/>
          <w:lang w:val="en-AU"/>
        </w:rPr>
      </w:pPr>
      <w:r w:rsidRPr="00611B73">
        <w:rPr>
          <w:noProof/>
          <w:lang w:val="en-AU"/>
        </w:rPr>
        <w:t>1. Спроможність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Надання первинної медичної допомоги та медичної допомоги при невідкладних станах.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1) Опис основної спроможності модуля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Модуль первинної медичної допомоги надає первинну медичну допомогу, включно з медичною допомогою постраждалим при невідкладних станах на догоспітальному етапі; здійснює підготовку до заходів медичної евакуації; забезпечує потреби військовослужбовців у відновленні, збереженні здоров’я та попередження розвитку захворювань; зменшує потреби у госпіталізації та посилює підтримку боєздатності особового складу.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Модуль повинен бути готовим до реагування на ситуації при масовому надходженні постраждалих.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2) Додатково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Модуль ПМД доцільно розташовувати, враховуючи безпекову ситуацію відповідно до тактичних умов, з урахуванням прогнозованого концентрування пацієнтів.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3) Належність до ролей медичної підтримки</w:t>
      </w:r>
    </w:p>
    <w:p w:rsidR="00AF391A" w:rsidRPr="00611B73" w:rsidRDefault="00D5618A">
      <w:pPr>
        <w:pStyle w:val="Ch61"/>
        <w:rPr>
          <w:noProof/>
          <w:spacing w:val="-3"/>
          <w:lang w:val="en-AU"/>
        </w:rPr>
      </w:pPr>
      <w:r w:rsidRPr="00611B73">
        <w:rPr>
          <w:noProof/>
          <w:spacing w:val="-3"/>
          <w:lang w:val="en-AU"/>
        </w:rPr>
        <w:t>Модуль первинної медичної допомоги входить до складу таких ролей медичної підтримки: R1, R2.</w:t>
      </w:r>
    </w:p>
    <w:p w:rsidR="00AF391A" w:rsidRPr="00611B73" w:rsidRDefault="00D5618A">
      <w:pPr>
        <w:pStyle w:val="Ch62"/>
        <w:rPr>
          <w:noProof/>
          <w:lang w:val="en-AU"/>
        </w:rPr>
      </w:pPr>
      <w:r w:rsidRPr="00611B73">
        <w:rPr>
          <w:noProof/>
          <w:lang w:val="en-AU"/>
        </w:rPr>
        <w:t>2. Завдання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Відповідно до наказу № 598, мінімальний обсяг завдань Модуля ПМД включає: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1) Забезпечення надання медичних послуг з первинної медичної допомоги: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первинний огляд пацієнта, оцінка загального стану та життєво-важливих функцій;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проведення діагностики та лікування найбільш поширених гострих інфекційних і неінфекційних хвороб, травм, отруєнь, патологічних станів;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надання медичної допомоги пацієнту в невідкладному стані;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динамічне спостереження за станом здоров’я пацієнтів, у тому числі із загостренням хронічних захворювань;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проведення заходів із профілактики захворювань;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оцінка стану психічного здоров’я;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проведення первинного огляду пацієнта з оцінкою стану стоматологічного здоров’я;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забезпечення заходів з проведення вакцинації;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забезпечення ізоляції інфекційних хворих (за умови наявності відповідних спроможностей);</w:t>
      </w:r>
    </w:p>
    <w:p w:rsidR="00AF391A" w:rsidRPr="00611B73" w:rsidRDefault="00D5618A">
      <w:pPr>
        <w:pStyle w:val="Ch61"/>
        <w:rPr>
          <w:noProof/>
          <w:spacing w:val="-3"/>
          <w:lang w:val="en-AU"/>
        </w:rPr>
      </w:pPr>
      <w:r w:rsidRPr="00611B73">
        <w:rPr>
          <w:noProof/>
          <w:spacing w:val="-3"/>
          <w:lang w:val="en-AU"/>
        </w:rPr>
        <w:t>забезпечення цілодобового лікарського спостереження та медсестринського догляду за пацієнтом та надання медичної допомоги в умовах палати (за умови наявності відповідних спроможностей);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оформлення рецептів для отримання лікарських засобів відповідно до чинного законодавства;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виконання встановлених вимог до надання медичної допомоги пацієнту з інфекційним захворюванням або підозрою на інфекційні захворювання;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підтримання комфорту та гігієни пацієнта;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проведення діагностичних досліджень / обстежень: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електрокардіографія;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отоскопія;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глюкоза крові;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якісне та / або кількісне визначення маркерів ушкодження міокарда та / або м’язової тканини: тропоніни І та / або Т, креатинкіназа ізоферменти (МВ) (швидкий тест);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ВІЛ-інфекція, вірусні гепатити В і С, сифіліс (швидкий тест);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SARS-CoV-2, грип А та В (швидкий тест);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загальний аналіз сечі: глюкоза, білірубін, кетони, питома вага, кров, pH, білок, уробіліноген, нітрити, лейкоцити (швидкий тест);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швидкий тест на вагітність.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lastRenderedPageBreak/>
        <w:t>Рекомендовані діагностичні обстеження: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офтальмоскопія;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вимірювання гостроти зору;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2) Менеджмент ХБРЯ-контамінованих пацієнтів: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розпізнавання ХБРЯ-контамінованих пацієнтів;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проведення сортування ХБРЯ-контамінованих пацієнтів;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застосування підходів до надання медичної допомоги та алгоритмів огляду травмованим (включаючи ресусцитаційні заходи з відтермінованим контролем пошкоджень, проведенням знеболення / седації та інших необхідних заходів) та нетравмованим пацієнтам у невідкладному стані внаслідок застосування хімічного, біологічного, радіологічного та ядерного виду озброєння;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управління ризиками, пов’язаними з контамінованим пацієнтом (локалізація, деконтамінація та / або ізоляція);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3) Забезпечення підготовки до проведення заходів медичної евакуації пацієнтів:</w:t>
      </w:r>
    </w:p>
    <w:p w:rsidR="00AF391A" w:rsidRPr="00611B73" w:rsidRDefault="00D5618A">
      <w:pPr>
        <w:pStyle w:val="Ch61"/>
        <w:rPr>
          <w:noProof/>
          <w:spacing w:val="-3"/>
          <w:lang w:val="en-AU"/>
        </w:rPr>
      </w:pPr>
      <w:r w:rsidRPr="00611B73">
        <w:rPr>
          <w:noProof/>
          <w:spacing w:val="-3"/>
          <w:lang w:val="en-AU"/>
        </w:rPr>
        <w:t>підготовка, перевірка справності та готовності до використання медичних та немедичних виробів;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підготовка необхідних медичних виробів / лікарських засобів тощо до проведення медичної евакуації;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роз’яснення пацієнту (якщо це можливо) заходів щодо його транспортування, з метою забезпечення його психологічного комфорту та розуміння процесу;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урахування обмежень та можливостей спеціалізованих санітарних транспортних засобів (наземного, повітряного та морського) до проведення медичної евакуації;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4) Організація та забезпечення функціонування модуля:</w:t>
      </w:r>
    </w:p>
    <w:p w:rsidR="00AF391A" w:rsidRPr="00611B73" w:rsidRDefault="00D5618A">
      <w:pPr>
        <w:pStyle w:val="Ch61"/>
        <w:rPr>
          <w:noProof/>
          <w:spacing w:val="-3"/>
          <w:lang w:val="en-AU"/>
        </w:rPr>
      </w:pPr>
      <w:r w:rsidRPr="00611B73">
        <w:rPr>
          <w:noProof/>
          <w:spacing w:val="-3"/>
          <w:lang w:val="en-AU"/>
        </w:rPr>
        <w:t>підготовка, перевірка справності та готовності до використання медичних та немедичних виробів;</w:t>
      </w:r>
    </w:p>
    <w:p w:rsidR="00AF391A" w:rsidRPr="00611B73" w:rsidRDefault="00D5618A">
      <w:pPr>
        <w:pStyle w:val="Ch61"/>
        <w:rPr>
          <w:noProof/>
          <w:spacing w:val="-4"/>
          <w:lang w:val="en-AU"/>
        </w:rPr>
      </w:pPr>
      <w:r w:rsidRPr="00611B73">
        <w:rPr>
          <w:noProof/>
          <w:spacing w:val="-4"/>
          <w:lang w:val="en-AU"/>
        </w:rPr>
        <w:t>проведення дезінфекції та стерилізації медичних виробів при наявності доступу до функції стерилізації або у взаємодії з вищими Ролями, якщо інші способи забезпечення стерильності не передбачені;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регулярна перевірка (наявності та термінів придатності), своєчасне списання та підтримання рівнів запасу лікарських засобів, медичних виробів, тощо;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підтримка чистоти та порядку в модулі;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контроль за належною утилізацією медичних відходів (за можливості);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5) Виконання адміністративних функцій та обмін інформацією: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встановлення попереднього діагнозу та визначення потреби в госпіталізації / направлення пацієнта за наявності показань для отримання медичних послуг на визначену Роль (заклади охорони здоров’я чи підрозділи за попередньо визначеними маршрутами (евакуації) пацієнтів);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інформування медичних підрозділів приймаючої сторони та транспортних (евакуаційних) команд про стан пацієнта та надані медичні послуги для забезпечення вжиття необхідних заходів;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своєчасне та повноцінне ведення первинної облікової документації (в тому числі при розгортанні медично-інформаційної системи), оформлення довідок та направлень для проходження військово-лікарської експертизи тощо та забезпечення її наявності для належної передачі інформації про пацієнта;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використання методів та засобів телемедицини відповідно до клінічних ситуацій та можливості;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дотримання визначених заходів у випадку смерті пацієнта;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інформування командира (начальника) МТФ стосовно обсягу потоку пацієнтів;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6) Реагування на ситуації при масовому надходженні постраждалих: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забезпечення необхідних заходів при масовому надходженні постраждалих;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організація та проведення медичного сортування.</w:t>
      </w:r>
    </w:p>
    <w:p w:rsidR="00AF391A" w:rsidRPr="00611B73" w:rsidRDefault="00D5618A">
      <w:pPr>
        <w:pStyle w:val="Ch62"/>
        <w:rPr>
          <w:noProof/>
          <w:lang w:val="en-AU"/>
        </w:rPr>
      </w:pPr>
      <w:r w:rsidRPr="00611B73">
        <w:rPr>
          <w:noProof/>
          <w:lang w:val="en-AU"/>
        </w:rPr>
        <w:t>3. Персонал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Склад персоналу модуля формується відповідно до такого переліку: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Лікар зі спеціалізацією за фахом «Загальна практика — сімейна медицина»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або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Лікар зі спеціалізацією за фахом «Терапія».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Сестра медична / брат медичний за спеціальністю «Сестринська справа», «Лікувальна справа» або «Акушерська справа»: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не менше однієї / одного на 1 лікаря;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Молодша медична сестра / медичний брат: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одна / один на 1 лікаря та не менше однієї / одного на 2 лікарів.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У разі необхідності, за погодженням із безпосередніми командирами та командуванням військової частини, в інтересах якої працює відповідний модуль, може залучатися особовий склад без медичної освіти для посилення ланки молодших медичних працівників (молодша медична сестра/ медичний брат).</w:t>
      </w:r>
    </w:p>
    <w:p w:rsidR="00AF391A" w:rsidRPr="00611B73" w:rsidRDefault="00D5618A">
      <w:pPr>
        <w:pStyle w:val="Ch62"/>
        <w:rPr>
          <w:noProof/>
          <w:lang w:val="en-AU"/>
        </w:rPr>
      </w:pPr>
      <w:r w:rsidRPr="00611B73">
        <w:rPr>
          <w:noProof/>
          <w:lang w:val="en-AU"/>
        </w:rPr>
        <w:lastRenderedPageBreak/>
        <w:t>4. Розрахункова пропускна здатність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Розрахункова пропускна здатність під час амбулаторного прийому у складі одного лікаря первинної медичної допомоги та однієї сестри медичної / одним братом медичним становить відповідно до режиму роботи до 40 пацієнтів на день.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Під час медичного планування, з метою забезпечення доступності послуг первинної медичної допомоги модуль у складі одного лікаря первинної медичної допомоги та однієї сестри медичної/ одним братом медичним розраховується на обслуговування до 2000 осіб особового складу наявного за списком або залучених до виконання бойового чи спеціального задання.</w:t>
      </w:r>
    </w:p>
    <w:p w:rsidR="00AF391A" w:rsidRPr="00611B73" w:rsidRDefault="00D5618A">
      <w:pPr>
        <w:pStyle w:val="Ch62"/>
        <w:rPr>
          <w:noProof/>
          <w:lang w:val="en-AU"/>
        </w:rPr>
      </w:pPr>
      <w:r w:rsidRPr="00611B73">
        <w:rPr>
          <w:noProof/>
          <w:lang w:val="en-AU"/>
        </w:rPr>
        <w:t>5. Рекомендації щодо підготовки персоналу модуля</w:t>
      </w:r>
    </w:p>
    <w:tbl>
      <w:tblPr>
        <w:tblW w:w="0" w:type="auto"/>
        <w:tblInd w:w="5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10"/>
        <w:gridCol w:w="1474"/>
        <w:gridCol w:w="1531"/>
        <w:gridCol w:w="1185"/>
      </w:tblGrid>
      <w:tr w:rsidR="00AF391A" w:rsidRPr="00611B73">
        <w:trPr>
          <w:trHeight w:val="300"/>
          <w:tblHeader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</w:tcPr>
          <w:p w:rsidR="00AF391A" w:rsidRPr="00611B73" w:rsidRDefault="00D5618A">
            <w:pPr>
              <w:pStyle w:val="TableshapkaTABL"/>
              <w:jc w:val="right"/>
              <w:rPr>
                <w:noProof/>
                <w:sz w:val="14"/>
                <w:szCs w:val="14"/>
                <w:lang w:val="en-AU"/>
              </w:rPr>
            </w:pPr>
            <w:r w:rsidRPr="00611B73">
              <w:rPr>
                <w:noProof/>
                <w:sz w:val="14"/>
                <w:szCs w:val="14"/>
                <w:lang w:val="en-AU"/>
              </w:rPr>
              <w:t>Категорія персоналу</w:t>
            </w:r>
          </w:p>
          <w:p w:rsidR="00AF391A" w:rsidRPr="00611B73" w:rsidRDefault="00AF391A">
            <w:pPr>
              <w:pStyle w:val="TableshapkaTABL"/>
              <w:jc w:val="left"/>
              <w:rPr>
                <w:noProof/>
                <w:sz w:val="14"/>
                <w:szCs w:val="14"/>
                <w:lang w:val="en-AU"/>
              </w:rPr>
            </w:pPr>
          </w:p>
          <w:p w:rsidR="00AF391A" w:rsidRPr="00611B73" w:rsidRDefault="00AF391A">
            <w:pPr>
              <w:pStyle w:val="TableshapkaTABL"/>
              <w:jc w:val="left"/>
              <w:rPr>
                <w:noProof/>
                <w:sz w:val="14"/>
                <w:szCs w:val="14"/>
                <w:lang w:val="en-AU"/>
              </w:rPr>
            </w:pPr>
          </w:p>
          <w:p w:rsidR="00AF391A" w:rsidRPr="00611B73" w:rsidRDefault="00AF391A">
            <w:pPr>
              <w:pStyle w:val="TableshapkaTABL"/>
              <w:jc w:val="left"/>
              <w:rPr>
                <w:noProof/>
                <w:sz w:val="14"/>
                <w:szCs w:val="14"/>
                <w:lang w:val="en-AU"/>
              </w:rPr>
            </w:pPr>
          </w:p>
          <w:p w:rsidR="00AF391A" w:rsidRPr="00611B73" w:rsidRDefault="00AF391A">
            <w:pPr>
              <w:pStyle w:val="TableshapkaTABL"/>
              <w:jc w:val="left"/>
              <w:rPr>
                <w:noProof/>
                <w:sz w:val="14"/>
                <w:szCs w:val="14"/>
                <w:lang w:val="en-AU"/>
              </w:rPr>
            </w:pPr>
          </w:p>
          <w:p w:rsidR="00AF391A" w:rsidRPr="00611B73" w:rsidRDefault="00D5618A">
            <w:pPr>
              <w:pStyle w:val="TableshapkaTABL"/>
              <w:jc w:val="left"/>
              <w:rPr>
                <w:noProof/>
                <w:lang w:val="en-AU"/>
              </w:rPr>
            </w:pPr>
            <w:r w:rsidRPr="00611B73">
              <w:rPr>
                <w:noProof/>
                <w:sz w:val="14"/>
                <w:szCs w:val="14"/>
                <w:lang w:val="en-AU"/>
              </w:rPr>
              <w:t>Навчальний курс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AF391A" w:rsidRPr="00611B73" w:rsidRDefault="00D5618A">
            <w:pPr>
              <w:pStyle w:val="TableshapkaTABL"/>
              <w:rPr>
                <w:noProof/>
                <w:lang w:val="en-AU"/>
              </w:rPr>
            </w:pPr>
            <w:r w:rsidRPr="00611B73">
              <w:rPr>
                <w:noProof/>
                <w:sz w:val="14"/>
                <w:szCs w:val="14"/>
                <w:lang w:val="en-AU"/>
              </w:rPr>
              <w:t xml:space="preserve">Лікар </w:t>
            </w:r>
            <w:r w:rsidRPr="00611B73">
              <w:rPr>
                <w:noProof/>
                <w:sz w:val="14"/>
                <w:szCs w:val="14"/>
                <w:lang w:val="en-AU"/>
              </w:rPr>
              <w:br/>
              <w:t xml:space="preserve">зі спеціалізацією </w:t>
            </w:r>
            <w:r w:rsidRPr="00611B73">
              <w:rPr>
                <w:noProof/>
                <w:sz w:val="14"/>
                <w:szCs w:val="14"/>
                <w:lang w:val="en-AU"/>
              </w:rPr>
              <w:br/>
              <w:t xml:space="preserve">«Загальна практика — сімейна медицина», </w:t>
            </w:r>
            <w:r w:rsidRPr="00611B73">
              <w:rPr>
                <w:noProof/>
                <w:sz w:val="14"/>
                <w:szCs w:val="14"/>
                <w:lang w:val="en-AU"/>
              </w:rPr>
              <w:br/>
              <w:t>«Терапія»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AF391A" w:rsidRPr="00611B73" w:rsidRDefault="00D5618A">
            <w:pPr>
              <w:pStyle w:val="TableshapkaTABL"/>
              <w:rPr>
                <w:noProof/>
                <w:lang w:val="en-AU"/>
              </w:rPr>
            </w:pPr>
            <w:r w:rsidRPr="00611B73">
              <w:rPr>
                <w:noProof/>
                <w:sz w:val="14"/>
                <w:szCs w:val="14"/>
                <w:lang w:val="en-AU"/>
              </w:rPr>
              <w:t>Сестра медична/ брат медичний зі спеціалізацією «Лікувальна справа», «Сестринська справа», «Акушерська справа»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AF391A" w:rsidRPr="00611B73" w:rsidRDefault="00D5618A">
            <w:pPr>
              <w:pStyle w:val="TableshapkaTABL"/>
              <w:rPr>
                <w:noProof/>
                <w:lang w:val="en-AU"/>
              </w:rPr>
            </w:pPr>
            <w:r w:rsidRPr="00611B73">
              <w:rPr>
                <w:noProof/>
                <w:sz w:val="14"/>
                <w:szCs w:val="14"/>
                <w:lang w:val="en-AU"/>
              </w:rPr>
              <w:t>Молодша медична сестра/ медичний брат</w:t>
            </w:r>
          </w:p>
        </w:tc>
      </w:tr>
      <w:tr w:rsidR="00AF391A" w:rsidRPr="00611B73">
        <w:trPr>
          <w:trHeight w:val="300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F391A" w:rsidRPr="00611B73" w:rsidRDefault="00D5618A">
            <w:pPr>
              <w:pStyle w:val="TableTABL"/>
              <w:rPr>
                <w:noProof/>
                <w:lang w:val="en-AU"/>
              </w:rPr>
            </w:pPr>
            <w:r w:rsidRPr="00611B73">
              <w:rPr>
                <w:noProof/>
                <w:sz w:val="16"/>
                <w:szCs w:val="16"/>
                <w:lang w:val="en-AU"/>
              </w:rPr>
              <w:t>Базові реанімаційні заходи у дорослих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F391A" w:rsidRPr="00611B73" w:rsidRDefault="00D5618A">
            <w:pPr>
              <w:pStyle w:val="TableTABL"/>
              <w:jc w:val="center"/>
              <w:rPr>
                <w:noProof/>
                <w:lang w:val="en-AU"/>
              </w:rPr>
            </w:pPr>
            <w:r w:rsidRPr="00611B73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F391A" w:rsidRPr="00611B73" w:rsidRDefault="00D5618A">
            <w:pPr>
              <w:pStyle w:val="TableTABL"/>
              <w:jc w:val="center"/>
              <w:rPr>
                <w:noProof/>
                <w:lang w:val="en-AU"/>
              </w:rPr>
            </w:pPr>
            <w:r w:rsidRPr="00611B73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F391A" w:rsidRPr="00611B73" w:rsidRDefault="00D5618A">
            <w:pPr>
              <w:pStyle w:val="TableTABL"/>
              <w:jc w:val="center"/>
              <w:rPr>
                <w:noProof/>
                <w:lang w:val="en-AU"/>
              </w:rPr>
            </w:pPr>
            <w:r w:rsidRPr="00611B73">
              <w:rPr>
                <w:noProof/>
                <w:sz w:val="16"/>
                <w:szCs w:val="16"/>
                <w:lang w:val="en-AU"/>
              </w:rPr>
              <w:t>+</w:t>
            </w:r>
          </w:p>
        </w:tc>
      </w:tr>
      <w:tr w:rsidR="00AF391A" w:rsidRPr="00611B73">
        <w:trPr>
          <w:trHeight w:val="300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F391A" w:rsidRPr="00611B73" w:rsidRDefault="00D5618A">
            <w:pPr>
              <w:pStyle w:val="TableTABL"/>
              <w:rPr>
                <w:noProof/>
                <w:lang w:val="en-AU"/>
              </w:rPr>
            </w:pPr>
            <w:r w:rsidRPr="00611B73">
              <w:rPr>
                <w:noProof/>
                <w:sz w:val="16"/>
                <w:szCs w:val="16"/>
                <w:lang w:val="en-AU"/>
              </w:rPr>
              <w:t>Негайні реанімаційні заходи у дорослих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F391A" w:rsidRPr="00611B73" w:rsidRDefault="00D5618A">
            <w:pPr>
              <w:pStyle w:val="TableTABL"/>
              <w:jc w:val="center"/>
              <w:rPr>
                <w:noProof/>
                <w:lang w:val="en-AU"/>
              </w:rPr>
            </w:pPr>
            <w:r w:rsidRPr="00611B73">
              <w:rPr>
                <w:noProof/>
                <w:sz w:val="16"/>
                <w:szCs w:val="16"/>
                <w:lang w:val="en-AU"/>
              </w:rPr>
              <w:t>+*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F391A" w:rsidRPr="00611B73" w:rsidRDefault="00D5618A">
            <w:pPr>
              <w:pStyle w:val="TableTABL"/>
              <w:jc w:val="center"/>
              <w:rPr>
                <w:noProof/>
                <w:lang w:val="en-AU"/>
              </w:rPr>
            </w:pPr>
            <w:r w:rsidRPr="00611B73">
              <w:rPr>
                <w:noProof/>
                <w:sz w:val="16"/>
                <w:szCs w:val="16"/>
                <w:lang w:val="en-AU"/>
              </w:rPr>
              <w:t>+*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F391A" w:rsidRPr="00611B73" w:rsidRDefault="00AF391A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  <w:tr w:rsidR="00AF391A" w:rsidRPr="00611B73">
        <w:trPr>
          <w:trHeight w:val="300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F391A" w:rsidRPr="00611B73" w:rsidRDefault="00D5618A">
            <w:pPr>
              <w:pStyle w:val="TableTABL"/>
              <w:rPr>
                <w:noProof/>
                <w:lang w:val="en-AU"/>
              </w:rPr>
            </w:pPr>
            <w:r w:rsidRPr="00611B73">
              <w:rPr>
                <w:noProof/>
                <w:sz w:val="16"/>
                <w:szCs w:val="16"/>
                <w:lang w:val="en-AU"/>
              </w:rPr>
              <w:t>Базові реанімаційні заходи у дітей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F391A" w:rsidRPr="00611B73" w:rsidRDefault="00D5618A">
            <w:pPr>
              <w:pStyle w:val="TableTABL"/>
              <w:jc w:val="center"/>
              <w:rPr>
                <w:noProof/>
                <w:lang w:val="en-AU"/>
              </w:rPr>
            </w:pPr>
            <w:r w:rsidRPr="00611B73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F391A" w:rsidRPr="00611B73" w:rsidRDefault="00D5618A">
            <w:pPr>
              <w:pStyle w:val="TableTABL"/>
              <w:jc w:val="center"/>
              <w:rPr>
                <w:noProof/>
                <w:lang w:val="en-AU"/>
              </w:rPr>
            </w:pPr>
            <w:r w:rsidRPr="00611B73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F391A" w:rsidRPr="00611B73" w:rsidRDefault="00D5618A">
            <w:pPr>
              <w:pStyle w:val="TableTABL"/>
              <w:jc w:val="center"/>
              <w:rPr>
                <w:noProof/>
                <w:lang w:val="en-AU"/>
              </w:rPr>
            </w:pPr>
            <w:r w:rsidRPr="00611B73">
              <w:rPr>
                <w:noProof/>
                <w:sz w:val="16"/>
                <w:szCs w:val="16"/>
                <w:lang w:val="en-AU"/>
              </w:rPr>
              <w:t>+*</w:t>
            </w:r>
          </w:p>
        </w:tc>
      </w:tr>
      <w:tr w:rsidR="00AF391A" w:rsidRPr="00611B73">
        <w:trPr>
          <w:trHeight w:val="300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F391A" w:rsidRPr="00611B73" w:rsidRDefault="00D5618A">
            <w:pPr>
              <w:pStyle w:val="TableTABL"/>
              <w:rPr>
                <w:noProof/>
                <w:lang w:val="en-AU"/>
              </w:rPr>
            </w:pPr>
            <w:r w:rsidRPr="00611B73">
              <w:rPr>
                <w:noProof/>
                <w:sz w:val="16"/>
                <w:szCs w:val="16"/>
                <w:lang w:val="en-AU"/>
              </w:rPr>
              <w:t>Негайні реанімаційні заходи у дітей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F391A" w:rsidRPr="00611B73" w:rsidRDefault="00D5618A">
            <w:pPr>
              <w:pStyle w:val="TableTABL"/>
              <w:jc w:val="center"/>
              <w:rPr>
                <w:noProof/>
                <w:lang w:val="en-AU"/>
              </w:rPr>
            </w:pPr>
            <w:r w:rsidRPr="00611B73">
              <w:rPr>
                <w:noProof/>
                <w:sz w:val="16"/>
                <w:szCs w:val="16"/>
                <w:lang w:val="en-AU"/>
              </w:rPr>
              <w:t>+*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F391A" w:rsidRPr="00611B73" w:rsidRDefault="00AF391A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F391A" w:rsidRPr="00611B73" w:rsidRDefault="00AF391A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  <w:tr w:rsidR="00AF391A" w:rsidRPr="00611B73">
        <w:trPr>
          <w:trHeight w:val="300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F391A" w:rsidRPr="00611B73" w:rsidRDefault="00D5618A">
            <w:pPr>
              <w:pStyle w:val="TableTABL"/>
              <w:rPr>
                <w:noProof/>
                <w:lang w:val="en-AU"/>
              </w:rPr>
            </w:pPr>
            <w:r w:rsidRPr="00611B73">
              <w:rPr>
                <w:noProof/>
                <w:sz w:val="16"/>
                <w:szCs w:val="16"/>
                <w:lang w:val="en-AU"/>
              </w:rPr>
              <w:t xml:space="preserve">Надання допомоги травмованим </w:t>
            </w:r>
            <w:r w:rsidRPr="00611B73">
              <w:rPr>
                <w:noProof/>
                <w:sz w:val="16"/>
                <w:szCs w:val="16"/>
                <w:lang w:val="en-AU"/>
              </w:rPr>
              <w:br/>
              <w:t>на догоспітальному етапі</w:t>
            </w:r>
            <w:bookmarkStart w:id="0" w:name="_GoBack"/>
            <w:bookmarkEnd w:id="0"/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F391A" w:rsidRPr="00611B73" w:rsidRDefault="00D5618A">
            <w:pPr>
              <w:pStyle w:val="TableTABL"/>
              <w:jc w:val="center"/>
              <w:rPr>
                <w:noProof/>
                <w:lang w:val="en-AU"/>
              </w:rPr>
            </w:pPr>
            <w:r w:rsidRPr="00611B73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F391A" w:rsidRPr="00611B73" w:rsidRDefault="00D5618A">
            <w:pPr>
              <w:pStyle w:val="TableTABL"/>
              <w:jc w:val="center"/>
              <w:rPr>
                <w:noProof/>
                <w:lang w:val="en-AU"/>
              </w:rPr>
            </w:pPr>
            <w:r w:rsidRPr="00611B73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F391A" w:rsidRPr="00611B73" w:rsidRDefault="00AF391A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  <w:tr w:rsidR="00AF391A" w:rsidRPr="00611B73">
        <w:trPr>
          <w:trHeight w:val="300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F391A" w:rsidRPr="00611B73" w:rsidRDefault="00D5618A">
            <w:pPr>
              <w:pStyle w:val="TableTABL"/>
              <w:rPr>
                <w:noProof/>
                <w:lang w:val="en-AU"/>
              </w:rPr>
            </w:pPr>
            <w:r w:rsidRPr="00611B73">
              <w:rPr>
                <w:noProof/>
                <w:spacing w:val="-3"/>
                <w:sz w:val="16"/>
                <w:szCs w:val="16"/>
                <w:lang w:val="en-AU"/>
              </w:rPr>
              <w:t>Невідкладна сонографія травмованим постраждалим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F391A" w:rsidRPr="00611B73" w:rsidRDefault="00D5618A">
            <w:pPr>
              <w:pStyle w:val="TableTABL"/>
              <w:jc w:val="center"/>
              <w:rPr>
                <w:noProof/>
                <w:lang w:val="en-AU"/>
              </w:rPr>
            </w:pPr>
            <w:r w:rsidRPr="00611B73">
              <w:rPr>
                <w:noProof/>
                <w:sz w:val="16"/>
                <w:szCs w:val="16"/>
                <w:lang w:val="en-AU"/>
              </w:rPr>
              <w:t>+*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F391A" w:rsidRPr="00611B73" w:rsidRDefault="00AF391A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F391A" w:rsidRPr="00611B73" w:rsidRDefault="00AF391A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  <w:tr w:rsidR="00AF391A" w:rsidRPr="00611B73">
        <w:trPr>
          <w:trHeight w:val="300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F391A" w:rsidRPr="00611B73" w:rsidRDefault="00D5618A">
            <w:pPr>
              <w:pStyle w:val="TableTABL"/>
              <w:rPr>
                <w:noProof/>
                <w:lang w:val="en-AU"/>
              </w:rPr>
            </w:pPr>
            <w:r w:rsidRPr="00611B73">
              <w:rPr>
                <w:noProof/>
                <w:sz w:val="16"/>
                <w:szCs w:val="16"/>
                <w:lang w:val="en-AU"/>
              </w:rPr>
              <w:t>Тактична екстрена допомога постраждалим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F391A" w:rsidRPr="00611B73" w:rsidRDefault="00AF391A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F391A" w:rsidRPr="00611B73" w:rsidRDefault="00D5618A">
            <w:pPr>
              <w:pStyle w:val="TableTABL"/>
              <w:jc w:val="center"/>
              <w:rPr>
                <w:noProof/>
                <w:lang w:val="en-AU"/>
              </w:rPr>
            </w:pPr>
            <w:r w:rsidRPr="00611B73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AF391A" w:rsidRPr="00611B73" w:rsidRDefault="00AF391A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</w:tbl>
    <w:p w:rsidR="00AF391A" w:rsidRPr="00611B73" w:rsidRDefault="00AF391A">
      <w:pPr>
        <w:pStyle w:val="Ch61"/>
        <w:rPr>
          <w:noProof/>
          <w:lang w:val="en-AU"/>
        </w:rPr>
      </w:pPr>
    </w:p>
    <w:p w:rsidR="00AF391A" w:rsidRPr="00611B73" w:rsidRDefault="00D5618A">
      <w:pPr>
        <w:pStyle w:val="Ch62"/>
        <w:rPr>
          <w:noProof/>
          <w:lang w:val="en-AU"/>
        </w:rPr>
      </w:pPr>
      <w:r w:rsidRPr="00611B73">
        <w:rPr>
          <w:noProof/>
          <w:lang w:val="en-AU"/>
        </w:rPr>
        <w:t>6. Кодування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 xml:space="preserve">Для досягнення цілей медичного планування, модуль первинної медичної допомоги кодується відповідно кількості лікарів первинної медичної допомоги таким чином: ПМД / кількість лікарів первинної медичної допомоги. </w:t>
      </w:r>
    </w:p>
    <w:p w:rsidR="00AF391A" w:rsidRPr="00611B73" w:rsidRDefault="00D5618A">
      <w:pPr>
        <w:pStyle w:val="Ch61"/>
        <w:rPr>
          <w:noProof/>
          <w:lang w:val="en-AU"/>
        </w:rPr>
      </w:pPr>
      <w:r w:rsidRPr="00611B73">
        <w:rPr>
          <w:noProof/>
          <w:lang w:val="en-AU"/>
        </w:rPr>
        <w:t>Наприклад, модуль первинної медичної допомоги з 2 лікарів первинної медичної допомоги буде кодуватися наступним чином: ПМД/2.</w:t>
      </w:r>
    </w:p>
    <w:p w:rsidR="00AF391A" w:rsidRPr="00611B73" w:rsidRDefault="00D5618A">
      <w:pPr>
        <w:pStyle w:val="PrimitkaPRIMITKA"/>
        <w:spacing w:before="170" w:after="0"/>
        <w:rPr>
          <w:noProof/>
          <w:lang w:val="en-AU"/>
        </w:rPr>
      </w:pPr>
      <w:r w:rsidRPr="00611B73">
        <w:rPr>
          <w:b/>
          <w:noProof/>
          <w:lang w:val="en-AU"/>
        </w:rPr>
        <w:t>Примітки:</w:t>
      </w:r>
      <w:r w:rsidRPr="00611B73">
        <w:rPr>
          <w:noProof/>
          <w:lang w:val="en-AU"/>
        </w:rPr>
        <w:tab/>
        <w:t>+ курси, рекомендовані для проходження відповідними особами в першу чергу.</w:t>
      </w:r>
    </w:p>
    <w:p w:rsidR="00D5618A" w:rsidRPr="00611B73" w:rsidRDefault="00D5618A" w:rsidP="00AB2DC6">
      <w:pPr>
        <w:pStyle w:val="PrimitkaPRIMITKA"/>
        <w:spacing w:before="0" w:after="0"/>
        <w:rPr>
          <w:rFonts w:asciiTheme="minorHAnsi" w:hAnsiTheme="minorHAnsi"/>
          <w:noProof/>
          <w:lang w:val="en-AU"/>
        </w:rPr>
      </w:pPr>
      <w:r w:rsidRPr="00611B73">
        <w:rPr>
          <w:noProof/>
          <w:lang w:val="en-AU"/>
        </w:rPr>
        <w:tab/>
        <w:t>+* курси, рекомендовані для проходження у другу чергу, після завершення всіх курсів першої черги</w:t>
      </w:r>
      <w:r w:rsidR="00AB2DC6" w:rsidRPr="00611B73">
        <w:rPr>
          <w:noProof/>
          <w:lang w:val="en-AU"/>
        </w:rPr>
        <w:t>.</w:t>
      </w:r>
    </w:p>
    <w:sectPr w:rsidR="00D5618A" w:rsidRPr="00611B73">
      <w:pgSz w:w="9071" w:h="13606"/>
      <w:pgMar w:top="567" w:right="567" w:bottom="567" w:left="567" w:header="708" w:footer="708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ragmatica-Book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ragmatica-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iosCon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ymbol (OTF)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T Pragmatica Medium Baltic  Re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embedSystemFonts/>
  <w:bordersDoNotSurroundHeader/>
  <w:bordersDoNotSurroundFooter/>
  <w:proofState w:spelling="clean" w:grammar="clean"/>
  <w:defaultTabStop w:val="720"/>
  <w:autoHyphenation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23F"/>
    <w:rsid w:val="001D456F"/>
    <w:rsid w:val="004A323F"/>
    <w:rsid w:val="00611B73"/>
    <w:rsid w:val="00837492"/>
    <w:rsid w:val="00AB2DC6"/>
    <w:rsid w:val="00AF391A"/>
    <w:rsid w:val="00D56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FF40B1"/>
  <w14:defaultImageDpi w14:val="0"/>
  <w15:docId w15:val="{8376327E-8A1D-4CC2-9213-29C4462ED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[Немає стилю абзацу]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paragraph" w:customStyle="1" w:styleId="a4">
    <w:name w:val="[Основний абзац]"/>
    <w:basedOn w:val="a3"/>
    <w:uiPriority w:val="99"/>
    <w:pPr>
      <w:tabs>
        <w:tab w:val="right" w:pos="7767"/>
      </w:tabs>
      <w:spacing w:line="257" w:lineRule="auto"/>
      <w:ind w:firstLine="283"/>
      <w:jc w:val="both"/>
    </w:pPr>
    <w:rPr>
      <w:rFonts w:ascii="Pragmatica-Book" w:hAnsi="Pragmatica-Book" w:cs="Pragmatica-Book"/>
      <w:w w:val="90"/>
      <w:sz w:val="18"/>
      <w:szCs w:val="18"/>
      <w:lang w:val="uk-UA"/>
    </w:rPr>
  </w:style>
  <w:style w:type="paragraph" w:customStyle="1" w:styleId="a5">
    <w:name w:val="Додаток № (Общие:Базовые)"/>
    <w:basedOn w:val="a4"/>
    <w:uiPriority w:val="99"/>
    <w:pPr>
      <w:tabs>
        <w:tab w:val="clear" w:pos="7767"/>
        <w:tab w:val="right" w:pos="6350"/>
      </w:tabs>
      <w:spacing w:before="567"/>
      <w:ind w:firstLine="0"/>
      <w:jc w:val="left"/>
    </w:pPr>
    <w:rPr>
      <w:sz w:val="17"/>
      <w:szCs w:val="17"/>
    </w:rPr>
  </w:style>
  <w:style w:type="paragraph" w:customStyle="1" w:styleId="a6">
    <w:name w:val="Додаток № (Общие)"/>
    <w:basedOn w:val="a5"/>
    <w:uiPriority w:val="99"/>
    <w:pPr>
      <w:keepLines/>
      <w:tabs>
        <w:tab w:val="clear" w:pos="6350"/>
        <w:tab w:val="right" w:pos="7710"/>
      </w:tabs>
      <w:suppressAutoHyphens/>
      <w:spacing w:before="397"/>
      <w:ind w:left="3969"/>
    </w:pPr>
  </w:style>
  <w:style w:type="paragraph" w:customStyle="1" w:styleId="Ch6">
    <w:name w:val="Додаток № (Ch_6 Міністерства)"/>
    <w:basedOn w:val="a6"/>
    <w:uiPriority w:val="99"/>
    <w:pPr>
      <w:keepNext/>
    </w:pPr>
  </w:style>
  <w:style w:type="paragraph" w:customStyle="1" w:styleId="a7">
    <w:name w:val="Заголовок Додатка (Общие:Базовые)"/>
    <w:basedOn w:val="a3"/>
    <w:uiPriority w:val="99"/>
    <w:pPr>
      <w:keepNext/>
      <w:tabs>
        <w:tab w:val="right" w:pos="6350"/>
      </w:tabs>
      <w:spacing w:before="397" w:after="113" w:line="257" w:lineRule="auto"/>
      <w:jc w:val="center"/>
    </w:pPr>
    <w:rPr>
      <w:rFonts w:ascii="Pragmatica-Bold" w:hAnsi="Pragmatica-Bold" w:cs="Pragmatica-Bold"/>
      <w:b/>
      <w:bCs/>
      <w:w w:val="90"/>
      <w:sz w:val="19"/>
      <w:szCs w:val="19"/>
      <w:lang w:val="uk-UA"/>
    </w:rPr>
  </w:style>
  <w:style w:type="paragraph" w:customStyle="1" w:styleId="a8">
    <w:name w:val="Заголовок Додатка (Общие)"/>
    <w:basedOn w:val="a7"/>
    <w:uiPriority w:val="99"/>
    <w:pPr>
      <w:keepLines/>
      <w:tabs>
        <w:tab w:val="clear" w:pos="6350"/>
        <w:tab w:val="right" w:pos="7710"/>
      </w:tabs>
      <w:suppressAutoHyphens/>
    </w:pPr>
  </w:style>
  <w:style w:type="paragraph" w:customStyle="1" w:styleId="Ch60">
    <w:name w:val="Заголовок Додатка (Ch_6 Міністерства)"/>
    <w:basedOn w:val="a8"/>
    <w:uiPriority w:val="99"/>
    <w:pPr>
      <w:spacing w:before="283"/>
    </w:pPr>
  </w:style>
  <w:style w:type="paragraph" w:customStyle="1" w:styleId="a9">
    <w:name w:val="Основной текст (Общие:Базовые)"/>
    <w:basedOn w:val="a3"/>
    <w:uiPriority w:val="99"/>
    <w:pPr>
      <w:tabs>
        <w:tab w:val="right" w:pos="6350"/>
        <w:tab w:val="right" w:pos="9383"/>
      </w:tabs>
      <w:spacing w:line="257" w:lineRule="auto"/>
      <w:ind w:firstLine="283"/>
      <w:jc w:val="both"/>
    </w:pPr>
    <w:rPr>
      <w:rFonts w:ascii="Pragmatica-Book" w:hAnsi="Pragmatica-Book" w:cs="Pragmatica-Book"/>
      <w:w w:val="90"/>
      <w:sz w:val="18"/>
      <w:szCs w:val="18"/>
      <w:lang w:val="uk-UA"/>
    </w:rPr>
  </w:style>
  <w:style w:type="paragraph" w:customStyle="1" w:styleId="aa">
    <w:name w:val="Основной текст (Общие)"/>
    <w:basedOn w:val="a9"/>
    <w:uiPriority w:val="99"/>
    <w:pPr>
      <w:tabs>
        <w:tab w:val="clear" w:pos="6350"/>
        <w:tab w:val="clear" w:pos="9383"/>
        <w:tab w:val="right" w:pos="7710"/>
        <w:tab w:val="right" w:pos="11514"/>
        <w:tab w:val="right" w:pos="11707"/>
      </w:tabs>
    </w:pPr>
  </w:style>
  <w:style w:type="paragraph" w:customStyle="1" w:styleId="Ch61">
    <w:name w:val="Основной текст (Ch_6 Міністерства)"/>
    <w:basedOn w:val="aa"/>
    <w:uiPriority w:val="99"/>
    <w:pPr>
      <w:tabs>
        <w:tab w:val="clear" w:pos="11707"/>
      </w:tabs>
    </w:pPr>
  </w:style>
  <w:style w:type="paragraph" w:customStyle="1" w:styleId="PrimitkiPRIMITKA">
    <w:name w:val="Primitki (PRIMITKA)"/>
    <w:basedOn w:val="a4"/>
    <w:uiPriority w:val="99"/>
    <w:pPr>
      <w:tabs>
        <w:tab w:val="clear" w:pos="7767"/>
        <w:tab w:val="right" w:pos="1020"/>
        <w:tab w:val="right" w:pos="6350"/>
      </w:tabs>
      <w:ind w:left="1089" w:hanging="1089"/>
    </w:pPr>
    <w:rPr>
      <w:sz w:val="17"/>
      <w:szCs w:val="17"/>
    </w:rPr>
  </w:style>
  <w:style w:type="paragraph" w:customStyle="1" w:styleId="PrimitkaPRIMITKA">
    <w:name w:val="Primitka (PRIMITKA)"/>
    <w:basedOn w:val="PrimitkiPRIMITKA"/>
    <w:uiPriority w:val="99"/>
    <w:pPr>
      <w:spacing w:before="142" w:after="142"/>
      <w:ind w:left="850" w:hanging="850"/>
    </w:pPr>
  </w:style>
  <w:style w:type="paragraph" w:customStyle="1" w:styleId="ab">
    <w:name w:val="Простой подзаголовок (Общие:Базовые)"/>
    <w:basedOn w:val="a3"/>
    <w:uiPriority w:val="99"/>
    <w:pPr>
      <w:keepNext/>
      <w:tabs>
        <w:tab w:val="right" w:pos="6350"/>
      </w:tabs>
      <w:spacing w:after="57" w:line="257" w:lineRule="auto"/>
      <w:jc w:val="both"/>
    </w:pPr>
    <w:rPr>
      <w:rFonts w:ascii="Pragmatica-Bold" w:hAnsi="Pragmatica-Bold" w:cs="Pragmatica-Bold"/>
      <w:b/>
      <w:bCs/>
      <w:w w:val="90"/>
      <w:sz w:val="18"/>
      <w:szCs w:val="18"/>
      <w:lang w:val="uk-UA"/>
    </w:rPr>
  </w:style>
  <w:style w:type="paragraph" w:customStyle="1" w:styleId="ac">
    <w:name w:val="Простой подзаголовок (Общие)"/>
    <w:basedOn w:val="ab"/>
    <w:uiPriority w:val="99"/>
    <w:pPr>
      <w:keepLines/>
      <w:tabs>
        <w:tab w:val="clear" w:pos="6350"/>
        <w:tab w:val="right" w:pos="7710"/>
      </w:tabs>
      <w:suppressAutoHyphens/>
      <w:spacing w:before="113"/>
      <w:ind w:left="283"/>
      <w:jc w:val="left"/>
    </w:pPr>
  </w:style>
  <w:style w:type="paragraph" w:customStyle="1" w:styleId="Ch62">
    <w:name w:val="Простой подзаголовок (Ch_6 Міністерства)"/>
    <w:basedOn w:val="ac"/>
    <w:uiPriority w:val="99"/>
  </w:style>
  <w:style w:type="paragraph" w:customStyle="1" w:styleId="Ch63">
    <w:name w:val="Основной текст (без абзаца) (Ch_6 Міністерства)"/>
    <w:basedOn w:val="Ch61"/>
    <w:uiPriority w:val="99"/>
    <w:pPr>
      <w:tabs>
        <w:tab w:val="right" w:leader="underscore" w:pos="7710"/>
        <w:tab w:val="right" w:leader="underscore" w:pos="11514"/>
      </w:tabs>
      <w:ind w:firstLine="0"/>
    </w:pPr>
  </w:style>
  <w:style w:type="paragraph" w:customStyle="1" w:styleId="TableshapkaTABL">
    <w:name w:val="Table_shapka (TABL)"/>
    <w:basedOn w:val="a4"/>
    <w:uiPriority w:val="99"/>
    <w:pPr>
      <w:tabs>
        <w:tab w:val="clear" w:pos="7767"/>
        <w:tab w:val="right" w:pos="6350"/>
      </w:tabs>
      <w:suppressAutoHyphens/>
      <w:ind w:firstLine="0"/>
      <w:jc w:val="center"/>
    </w:pPr>
    <w:rPr>
      <w:sz w:val="15"/>
      <w:szCs w:val="15"/>
    </w:rPr>
  </w:style>
  <w:style w:type="paragraph" w:customStyle="1" w:styleId="TableTABL">
    <w:name w:val="Table (TABL)"/>
    <w:basedOn w:val="a4"/>
    <w:uiPriority w:val="99"/>
    <w:pPr>
      <w:suppressAutoHyphens/>
      <w:spacing w:line="252" w:lineRule="auto"/>
      <w:ind w:firstLine="0"/>
      <w:jc w:val="left"/>
    </w:pPr>
    <w:rPr>
      <w:rFonts w:ascii="HeliosCond" w:hAnsi="HeliosCond" w:cs="HeliosCond"/>
      <w:spacing w:val="-2"/>
      <w:w w:val="100"/>
      <w:sz w:val="17"/>
      <w:szCs w:val="17"/>
    </w:rPr>
  </w:style>
  <w:style w:type="character" w:customStyle="1" w:styleId="bold">
    <w:name w:val="bold"/>
    <w:uiPriority w:val="99"/>
    <w:rPr>
      <w:b/>
      <w:bCs/>
    </w:rPr>
  </w:style>
  <w:style w:type="character" w:customStyle="1" w:styleId="55">
    <w:name w:val="Зажато55 (Вспомогательные)"/>
    <w:uiPriority w:val="99"/>
  </w:style>
  <w:style w:type="character" w:customStyle="1" w:styleId="superscript">
    <w:name w:val="superscript"/>
    <w:uiPriority w:val="99"/>
    <w:rPr>
      <w:w w:val="90"/>
      <w:vertAlign w:val="superscript"/>
    </w:rPr>
  </w:style>
  <w:style w:type="character" w:customStyle="1" w:styleId="ad">
    <w:name w:val="Градус (Вспомогательные)"/>
    <w:uiPriority w:val="99"/>
    <w:rPr>
      <w:rFonts w:ascii="HeliosCond" w:hAnsi="HeliosCond" w:cs="HeliosCond"/>
    </w:rPr>
  </w:style>
  <w:style w:type="character" w:customStyle="1" w:styleId="ae">
    <w:name w:val="звездочка"/>
    <w:uiPriority w:val="99"/>
    <w:rPr>
      <w:w w:val="100"/>
      <w:position w:val="0"/>
      <w:sz w:val="18"/>
      <w:szCs w:val="18"/>
    </w:rPr>
  </w:style>
  <w:style w:type="character" w:customStyle="1" w:styleId="20">
    <w:name w:val="Снять Зажато20 (Вспомогательные)"/>
    <w:uiPriority w:val="99"/>
  </w:style>
  <w:style w:type="character" w:customStyle="1" w:styleId="1">
    <w:name w:val="Стиль символа 1 (Вспомогательные)"/>
    <w:uiPriority w:val="99"/>
    <w:rPr>
      <w:rFonts w:ascii="Symbol (OTF) Regular" w:hAnsi="Symbol (OTF) Regular" w:cs="Symbol (OTF) Regular"/>
    </w:rPr>
  </w:style>
  <w:style w:type="character" w:customStyle="1" w:styleId="500">
    <w:name w:val="500"/>
    <w:uiPriority w:val="99"/>
  </w:style>
  <w:style w:type="character" w:customStyle="1" w:styleId="Postanovla">
    <w:name w:val="Postanovla"/>
    <w:uiPriority w:val="99"/>
  </w:style>
  <w:style w:type="character" w:customStyle="1" w:styleId="PragmaticaB">
    <w:name w:val="PragmaticaB"/>
    <w:uiPriority w:val="99"/>
    <w:rPr>
      <w:rFonts w:ascii="PT Pragmatica Medium Baltic  Re" w:hAnsi="PT Pragmatica Medium Baltic  Re" w:cs="PT Pragmatica Medium Baltic  Re"/>
    </w:rPr>
  </w:style>
  <w:style w:type="character" w:customStyle="1" w:styleId="Bold0">
    <w:name w:val="Bold (Вспомогательные)"/>
    <w:uiPriority w:val="99"/>
    <w:rPr>
      <w:b/>
      <w:bCs/>
    </w:rPr>
  </w:style>
  <w:style w:type="character" w:customStyle="1" w:styleId="superscriptsnoska">
    <w:name w:val="superscript_snoska"/>
    <w:uiPriority w:val="99"/>
    <w:rPr>
      <w:spacing w:val="13"/>
      <w:w w:val="90"/>
      <w:position w:val="2"/>
      <w:sz w:val="16"/>
      <w:szCs w:val="16"/>
      <w:vertAlign w:val="superscript"/>
    </w:rPr>
  </w:style>
  <w:style w:type="character" w:customStyle="1" w:styleId="14pt">
    <w:name w:val="Отбивка 14pt (Вспомогательные)"/>
    <w:uiPriority w:val="99"/>
  </w:style>
  <w:style w:type="character" w:customStyle="1" w:styleId="base">
    <w:name w:val="base"/>
    <w:uiPriority w:val="99"/>
    <w:rPr>
      <w:rFonts w:ascii="Pragmatica-Book" w:hAnsi="Pragmatica-Book" w:cs="Pragmatica-Book"/>
      <w:spacing w:val="2"/>
      <w:sz w:val="18"/>
      <w:szCs w:val="18"/>
      <w:vertAlign w:val="baseline"/>
    </w:rPr>
  </w:style>
  <w:style w:type="character" w:customStyle="1" w:styleId="af">
    <w:name w:val="ЗажатоПЖ (Вспомогательные)"/>
    <w:uiPriority w:val="99"/>
    <w:rPr>
      <w:w w:val="120"/>
    </w:rPr>
  </w:style>
  <w:style w:type="character" w:customStyle="1" w:styleId="200">
    <w:name w:val="В р а з р я д к у 200 (Вспомогательные)"/>
    <w:uiPriority w:val="99"/>
  </w:style>
  <w:style w:type="character" w:customStyle="1" w:styleId="Regular">
    <w:name w:val="Regular (Вспомогательные)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5502</Words>
  <Characters>3137</Characters>
  <Application>Microsoft Office Word</Application>
  <DocSecurity>0</DocSecurity>
  <Lines>26</Lines>
  <Paragraphs>17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Черченко Людмила Володимирівна</cp:lastModifiedBy>
  <cp:revision>6</cp:revision>
  <dcterms:created xsi:type="dcterms:W3CDTF">2025-10-03T09:18:00Z</dcterms:created>
  <dcterms:modified xsi:type="dcterms:W3CDTF">2025-10-03T12:31:00Z</dcterms:modified>
</cp:coreProperties>
</file>