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EEE" w:rsidRPr="008455CB" w:rsidRDefault="00E261BD">
      <w:pPr>
        <w:pStyle w:val="Ch6"/>
        <w:ind w:left="4535"/>
        <w:rPr>
          <w:noProof/>
          <w:lang w:val="en-AU"/>
        </w:rPr>
      </w:pPr>
      <w:r w:rsidRPr="008455CB">
        <w:rPr>
          <w:noProof/>
          <w:lang w:val="en-AU"/>
        </w:rPr>
        <w:t>Додаток 14</w:t>
      </w:r>
      <w:r w:rsidRPr="008455CB">
        <w:rPr>
          <w:noProof/>
          <w:lang w:val="en-AU"/>
        </w:rPr>
        <w:br/>
        <w:t xml:space="preserve">до Стандарту модульного підходу </w:t>
      </w:r>
      <w:r w:rsidR="00F458EF" w:rsidRPr="008455CB">
        <w:rPr>
          <w:rFonts w:asciiTheme="minorHAnsi" w:hAnsiTheme="minorHAnsi"/>
          <w:noProof/>
          <w:lang w:val="en-AU"/>
        </w:rPr>
        <w:br/>
      </w:r>
      <w:r w:rsidRPr="008455CB">
        <w:rPr>
          <w:noProof/>
          <w:lang w:val="en-AU"/>
        </w:rPr>
        <w:t xml:space="preserve">до організації надання медичної допомоги на догоспітальному етапі, яка надається </w:t>
      </w:r>
      <w:r w:rsidR="00F458EF" w:rsidRPr="008455CB">
        <w:rPr>
          <w:rFonts w:asciiTheme="minorHAnsi" w:hAnsiTheme="minorHAnsi"/>
          <w:noProof/>
          <w:lang w:val="en-AU"/>
        </w:rPr>
        <w:br/>
      </w:r>
      <w:r w:rsidRPr="008455CB">
        <w:rPr>
          <w:noProof/>
          <w:lang w:val="en-AU"/>
        </w:rPr>
        <w:t>під час ведення воєнних (бойових) дій та підготовки сил безпеки і сил оборони до застосування за призначенням</w:t>
      </w:r>
      <w:r w:rsidRPr="008455CB">
        <w:rPr>
          <w:noProof/>
          <w:lang w:val="en-AU"/>
        </w:rPr>
        <w:br/>
        <w:t>(пункт 14)</w:t>
      </w:r>
    </w:p>
    <w:p w:rsidR="007A7EEE" w:rsidRPr="008455CB" w:rsidRDefault="00E261BD">
      <w:pPr>
        <w:pStyle w:val="Ch60"/>
        <w:spacing w:after="57"/>
        <w:rPr>
          <w:noProof/>
          <w:lang w:val="en-AU"/>
        </w:rPr>
      </w:pPr>
      <w:r w:rsidRPr="008455CB">
        <w:rPr>
          <w:noProof/>
          <w:lang w:val="en-AU"/>
        </w:rPr>
        <w:t xml:space="preserve">Мінімальний набір </w:t>
      </w:r>
      <w:r w:rsidRPr="008455CB">
        <w:rPr>
          <w:noProof/>
          <w:lang w:val="en-AU"/>
        </w:rPr>
        <w:br/>
        <w:t xml:space="preserve">лікарських засобів для надання медичної допомоги </w:t>
      </w:r>
      <w:r w:rsidRPr="008455CB">
        <w:rPr>
          <w:noProof/>
          <w:lang w:val="en-AU"/>
        </w:rPr>
        <w:br/>
        <w:t>при невідкладних станах в модулі первинної медичної допомоги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"/>
        <w:gridCol w:w="2551"/>
        <w:gridCol w:w="2835"/>
        <w:gridCol w:w="963"/>
        <w:gridCol w:w="954"/>
      </w:tblGrid>
      <w:tr w:rsidR="007A7EEE" w:rsidRPr="008455CB">
        <w:trPr>
          <w:trHeight w:val="60"/>
          <w:tblHeader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57" w:type="dxa"/>
              <w:bottom w:w="74" w:type="dxa"/>
              <w:right w:w="57" w:type="dxa"/>
            </w:tcMar>
            <w:vAlign w:val="center"/>
          </w:tcPr>
          <w:p w:rsidR="007A7EEE" w:rsidRPr="008455CB" w:rsidRDefault="00E261BD">
            <w:pPr>
              <w:pStyle w:val="TableshapkaTABL"/>
              <w:rPr>
                <w:noProof/>
                <w:lang w:val="en-AU"/>
              </w:rPr>
            </w:pPr>
            <w:r w:rsidRPr="008455CB">
              <w:rPr>
                <w:noProof/>
                <w:sz w:val="14"/>
                <w:szCs w:val="14"/>
                <w:lang w:val="en-AU"/>
              </w:rPr>
              <w:t>№ з/п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57" w:type="dxa"/>
              <w:bottom w:w="74" w:type="dxa"/>
              <w:right w:w="57" w:type="dxa"/>
            </w:tcMar>
            <w:vAlign w:val="center"/>
          </w:tcPr>
          <w:p w:rsidR="007A7EEE" w:rsidRPr="008455CB" w:rsidRDefault="00E261BD">
            <w:pPr>
              <w:pStyle w:val="TableshapkaTABL"/>
              <w:rPr>
                <w:noProof/>
                <w:lang w:val="en-AU"/>
              </w:rPr>
            </w:pPr>
            <w:r w:rsidRPr="008455CB">
              <w:rPr>
                <w:noProof/>
                <w:sz w:val="14"/>
                <w:szCs w:val="14"/>
                <w:lang w:val="en-AU"/>
              </w:rPr>
              <w:t xml:space="preserve">Міжнародна непатентована </w:t>
            </w:r>
            <w:r w:rsidRPr="008455CB">
              <w:rPr>
                <w:noProof/>
                <w:sz w:val="14"/>
                <w:szCs w:val="14"/>
                <w:lang w:val="en-AU"/>
              </w:rPr>
              <w:br/>
              <w:t>назва (МНН) українською та англійською мовами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57" w:type="dxa"/>
              <w:bottom w:w="74" w:type="dxa"/>
              <w:right w:w="57" w:type="dxa"/>
            </w:tcMar>
            <w:vAlign w:val="center"/>
          </w:tcPr>
          <w:p w:rsidR="007A7EEE" w:rsidRPr="008455CB" w:rsidRDefault="00E261BD">
            <w:pPr>
              <w:pStyle w:val="TableshapkaTABL"/>
              <w:rPr>
                <w:noProof/>
                <w:lang w:val="en-AU"/>
              </w:rPr>
            </w:pPr>
            <w:r w:rsidRPr="008455CB">
              <w:rPr>
                <w:noProof/>
                <w:sz w:val="14"/>
                <w:szCs w:val="14"/>
                <w:lang w:val="en-AU"/>
              </w:rPr>
              <w:t>Форма випуску, доза лікарського засобу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57" w:type="dxa"/>
              <w:bottom w:w="74" w:type="dxa"/>
              <w:right w:w="57" w:type="dxa"/>
            </w:tcMar>
            <w:vAlign w:val="center"/>
          </w:tcPr>
          <w:p w:rsidR="007A7EEE" w:rsidRPr="008455CB" w:rsidRDefault="00E261BD">
            <w:pPr>
              <w:pStyle w:val="TableshapkaTABL"/>
              <w:rPr>
                <w:noProof/>
                <w:lang w:val="en-AU"/>
              </w:rPr>
            </w:pPr>
            <w:r w:rsidRPr="008455CB">
              <w:rPr>
                <w:noProof/>
                <w:sz w:val="14"/>
                <w:szCs w:val="14"/>
                <w:lang w:val="en-AU"/>
              </w:rPr>
              <w:t>Одиниця виміру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57" w:type="dxa"/>
              <w:bottom w:w="74" w:type="dxa"/>
              <w:right w:w="57" w:type="dxa"/>
            </w:tcMar>
            <w:vAlign w:val="center"/>
          </w:tcPr>
          <w:p w:rsidR="007A7EEE" w:rsidRPr="008455CB" w:rsidRDefault="00E261BD">
            <w:pPr>
              <w:pStyle w:val="TableshapkaTABL"/>
              <w:rPr>
                <w:noProof/>
                <w:lang w:val="en-AU"/>
              </w:rPr>
            </w:pPr>
            <w:r w:rsidRPr="008455CB">
              <w:rPr>
                <w:noProof/>
                <w:sz w:val="14"/>
                <w:szCs w:val="14"/>
                <w:lang w:val="en-AU"/>
              </w:rPr>
              <w:t>Кількість*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 xml:space="preserve">Адреналін / Епінефрин </w:t>
            </w:r>
            <w:r w:rsidRPr="008455CB">
              <w:rPr>
                <w:noProof/>
                <w:sz w:val="16"/>
                <w:szCs w:val="16"/>
                <w:lang w:val="en-AU"/>
              </w:rPr>
              <w:br/>
              <w:t>(Adrenaline / Epinephrine)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 xml:space="preserve">ін’єкції: 1 мг (у вигляді гідрохлориду та гідротартрату)/мл по 1 мл в ампулах, що відповідає 1,82 мг адреналіну </w:t>
            </w:r>
            <w:r w:rsidRPr="008455CB">
              <w:rPr>
                <w:noProof/>
                <w:sz w:val="16"/>
                <w:szCs w:val="16"/>
                <w:lang w:val="en-AU"/>
              </w:rPr>
              <w:br/>
              <w:t>тартрату в 1 мл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амп.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5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Аміодарон (Amiodarone)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ін’єкції: 50 мг/мл по 3 мл в ампулах (гідрохлорид)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амп.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5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Атропін (Atropine)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ін’єкції: 1 мг (сульфат)/мл по 1 мл в ампулах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амп.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5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Верапаміл (Verapamil)**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ін’єкції: 2,5 мг/мл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 xml:space="preserve">Вода для ін’єкцій </w:t>
            </w:r>
            <w:r w:rsidRPr="008455CB">
              <w:rPr>
                <w:noProof/>
                <w:sz w:val="16"/>
                <w:szCs w:val="16"/>
                <w:lang w:val="en-AU"/>
              </w:rPr>
              <w:br/>
              <w:t xml:space="preserve">(Aqua pro injectionibus / </w:t>
            </w:r>
            <w:r w:rsidRPr="008455CB">
              <w:rPr>
                <w:noProof/>
                <w:sz w:val="16"/>
                <w:szCs w:val="16"/>
                <w:lang w:val="en-AU"/>
              </w:rPr>
              <w:br/>
              <w:t>Water for injection)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розчин для ін’єкцій: 2 мл; 5 мл; 10 мл в ампулах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мл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50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 xml:space="preserve">Вугілля активоване** </w:t>
            </w:r>
            <w:r w:rsidRPr="008455CB">
              <w:rPr>
                <w:noProof/>
                <w:sz w:val="16"/>
                <w:szCs w:val="16"/>
                <w:lang w:val="en-AU"/>
              </w:rPr>
              <w:br/>
              <w:t>(Activated charcoal)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порошок: 5 г; тверда пероральна лікарська форма: 0,25 г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50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Гепарин натрій (Heparin sodium)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ін’єкції: 5 000 МО/мл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МО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25000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Глюкоза (Glucose)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розчин для ін’єкцій / інфузій: 40 % (гіпертонічний)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16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9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Глюкоза (Glucose)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розчин для ін’єкцій / інфузій: 5 % (ізотонічний)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мл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200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Дексаметазон (Dexamethasone)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ін’єкції: 4 мг/мл по 1 мл в ампулах (у вигляді динатрієвої фосфатної солі)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амп.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5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sz w:val="16"/>
                <w:szCs w:val="16"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Декскетопрофен (Dexketoprofen)</w:t>
            </w:r>
          </w:p>
          <w:p w:rsidR="007A7EEE" w:rsidRPr="008455CB" w:rsidRDefault="00E261BD">
            <w:pPr>
              <w:pStyle w:val="TableTABL"/>
              <w:rPr>
                <w:noProof/>
                <w:sz w:val="16"/>
                <w:szCs w:val="16"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 xml:space="preserve">або </w:t>
            </w:r>
          </w:p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аналог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sz w:val="16"/>
                <w:szCs w:val="16"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ін’єкції: 25 мг/мл по 2 мл в ампулах</w:t>
            </w:r>
          </w:p>
          <w:p w:rsidR="007A7EEE" w:rsidRPr="008455CB" w:rsidRDefault="00E261BD">
            <w:pPr>
              <w:pStyle w:val="TableTABL"/>
              <w:rPr>
                <w:noProof/>
                <w:sz w:val="16"/>
                <w:szCs w:val="16"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або</w:t>
            </w:r>
          </w:p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лікарський засіб із групи нестероїдних протизапальних препаратів з внутрішньовеним шляхом введення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амп.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5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Дифенгідрамін (diphenhydramine)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 xml:space="preserve">ін’єкції: 10 мг (гідрохлорид)/мл </w:t>
            </w:r>
            <w:r w:rsidRPr="008455CB">
              <w:rPr>
                <w:noProof/>
                <w:sz w:val="16"/>
                <w:szCs w:val="16"/>
                <w:lang w:val="en-AU"/>
              </w:rPr>
              <w:br/>
              <w:t>по 1 мл в ампулах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амп.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5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Діазепам (Diazepam)**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ін’єкції: 5 мг/мл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Допамін (Dopamine)**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 xml:space="preserve">ін’єкції: 40 мг/мл (гідрохлорид) по 5 мл в ампулах; концентрат </w:t>
            </w:r>
            <w:r w:rsidRPr="008455CB">
              <w:rPr>
                <w:noProof/>
                <w:sz w:val="16"/>
                <w:szCs w:val="16"/>
                <w:lang w:val="en-AU"/>
              </w:rPr>
              <w:br/>
              <w:t>для приготування розчину для інфузій: 200 мг/10 мл; 5 мг/мл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200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lastRenderedPageBreak/>
              <w:t>15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Дротаверин (Drotaverine)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ін’єкції: 20 мг/мл по 2 мл в ампулах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амп.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5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Еноксапарин (Enoxaparin)**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ін’єкції: 10 000 анти-Ха МО/мл по 40 мг/0,4 мл; по 60 мг/0,6 мл; по 80 мг/0,8 мл; по 100 мг/1 мл; в ампулах або шприц-дозах, у багатодозовому флаконі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140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Каптоприл (Captopril)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таблетки: 12,5 мг; 25 мг; 50 мг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250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Кислота ацетилсаліцилова (Acetylsalicylic acid)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таблетки: 500 мг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5000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19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Клопідогрель (Clopidogrel)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таблетки: 75 мг; 300 мг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1000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Лідокаїн (Lidocaine)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ін’єкції: 20 мг (гідрохлорид)/мл по 2 мл або по 5 мл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150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Лікарські засобі з групи фторхінолонів**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розчин (очні краплі)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фл.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Лоперамід (Loperamide)**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тверда пероральна лікарська форма: 2 мг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sz w:val="16"/>
                <w:szCs w:val="16"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 xml:space="preserve">Магнію сульфат </w:t>
            </w:r>
          </w:p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(Magnesium sulfate)**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ін’єкції: 0,5 г/мл по 2 мл в ампулах (еквівалентно 1 г в 2 мл; 50 % вага/об’єм); 0,5 г/мл по 10 мл в ампулах (еквівалентно 5 г в 10 мл; 50 % вага/об’єм); 250 мг/мл по 5 мл; по 10 мл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5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Метоклопрамід (Metoclopramide)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ін’єкції: 5 мг (гідрохлорид)/мл по 2 мл в ампулах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амп.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5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Метопролол (Metoprolol)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таблетки: 25 мг; 50 мг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500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Метопролол (Metoprolol)**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розчин для ін’єкцій: 1 мг/мл в ампулах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15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Морфін (Morphine)**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 xml:space="preserve">ін’єкції: 10 мг/мл; 20 мг/мл </w:t>
            </w:r>
            <w:r w:rsidRPr="008455CB">
              <w:rPr>
                <w:noProof/>
                <w:sz w:val="16"/>
                <w:szCs w:val="16"/>
                <w:lang w:val="en-AU"/>
              </w:rPr>
              <w:br/>
              <w:t>(сульфат або гідрохлорид) в ампулах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Налоксон (Naloxone)**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ін’єкції: 400 мкг (гідрохлорид)/</w:t>
            </w:r>
            <w:r w:rsidRPr="008455CB">
              <w:rPr>
                <w:noProof/>
                <w:sz w:val="16"/>
                <w:szCs w:val="16"/>
                <w:lang w:val="en-AU"/>
              </w:rPr>
              <w:br/>
              <w:t>мл по 1 мл в ампулах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амп.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5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29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Натрію хлорид (Sodium chloride)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розчин для ін’єкцій/інфузій: 0,9 % ізотонічний (еквівалентно Na+ 154 ммоль/л та Cl- 154 ммоль/л)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мл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400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30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Нітрогліцерин (Glyceryl trinitrate)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sz w:val="16"/>
                <w:szCs w:val="16"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таблетки: (сублінгвальні) 500 мкг</w:t>
            </w:r>
          </w:p>
          <w:p w:rsidR="007A7EEE" w:rsidRPr="008455CB" w:rsidRDefault="00E261BD">
            <w:pPr>
              <w:pStyle w:val="TableTABL"/>
              <w:rPr>
                <w:noProof/>
                <w:sz w:val="16"/>
                <w:szCs w:val="16"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або</w:t>
            </w:r>
          </w:p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спрей сублінгвальний: 0,4 мг/доза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sz w:val="16"/>
                <w:szCs w:val="16"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таб.</w:t>
            </w:r>
          </w:p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фл.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sz w:val="16"/>
                <w:szCs w:val="16"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20</w:t>
            </w:r>
          </w:p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31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Нітрогліцерин (Glyceryl trinitrate)**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 xml:space="preserve">концентрат для розчину для інфузій: </w:t>
            </w:r>
            <w:r w:rsidRPr="008455CB">
              <w:rPr>
                <w:noProof/>
                <w:sz w:val="16"/>
                <w:szCs w:val="16"/>
                <w:lang w:val="en-AU"/>
              </w:rPr>
              <w:br/>
              <w:t>1 мг/мл; 10 мг/мл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40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32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Ніфедипін (Nifedipine)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таблетки: 10 мг; 20 мг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200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33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Норепінефрин (норадреналін) (Norepinephrine)**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розчин для ін’єкцій: 1 мг/мл; концентрат для розчину для інфузій: 2 мг/мл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8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34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Ондансетрон (Ondansetron)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ін’єкції: 2 мг/мл по 2 мл або 4 мл в ампулах (у вигляді гідрохлориду)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16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35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Парацетамол (Paracetamol)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 xml:space="preserve">тверда пероральна лікарська форма: </w:t>
            </w:r>
            <w:r w:rsidRPr="008455CB">
              <w:rPr>
                <w:noProof/>
                <w:sz w:val="16"/>
                <w:szCs w:val="16"/>
                <w:lang w:val="en-AU"/>
              </w:rPr>
              <w:lastRenderedPageBreak/>
              <w:t>500–1000 мг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lastRenderedPageBreak/>
              <w:t>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36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Парацетамол (Paracetamol)**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розчин для інфузій: 10 мг/мл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1000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37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sz w:val="16"/>
                <w:szCs w:val="16"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Повідон-йод</w:t>
            </w:r>
          </w:p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(Povidone-iodine)**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розчин: 10 % (еквівалентно 1 % активного йоду)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мл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100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38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Пропранолол (Propranolol)**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таблетки: 10 мг; 20 мг; 40 мг (гідрохлорид)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200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39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Сальбутамол (Salbutamol)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sz w:val="16"/>
                <w:szCs w:val="16"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 xml:space="preserve">дозований інгалятор (аерозоль): </w:t>
            </w:r>
          </w:p>
          <w:p w:rsidR="007A7EEE" w:rsidRPr="008455CB" w:rsidRDefault="00E261BD">
            <w:pPr>
              <w:pStyle w:val="TableTABL"/>
              <w:rPr>
                <w:noProof/>
                <w:sz w:val="16"/>
                <w:szCs w:val="16"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 xml:space="preserve">100 мкг/дозу (у вигляді сульфату) </w:t>
            </w:r>
          </w:p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100 або 200 доз у балоні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уп.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40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Сальбутамол (Salbutamol)**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pacing w:val="-6"/>
                <w:sz w:val="16"/>
                <w:szCs w:val="16"/>
                <w:lang w:val="en-AU"/>
              </w:rPr>
              <w:t>розчин для інгаляцій: 1 мг/мл та 2,5 мг/2,5 мл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10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41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sz w:val="16"/>
                <w:szCs w:val="16"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 xml:space="preserve">Транексамова кислота </w:t>
            </w:r>
          </w:p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(Tranexamic acid)**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ін’єкції: 100 мг/мл по 5 мл </w:t>
            </w:r>
            <w:r w:rsidRPr="008455CB">
              <w:rPr>
                <w:noProof/>
                <w:sz w:val="16"/>
                <w:szCs w:val="16"/>
                <w:lang w:val="en-AU"/>
              </w:rPr>
              <w:br/>
              <w:t>або 10 мл в ампулах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5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42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Урапідил (Urapidil)**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ін’єкції: 5 мг/мл по 5 мл </w:t>
            </w:r>
            <w:r w:rsidRPr="008455CB">
              <w:rPr>
                <w:noProof/>
                <w:sz w:val="16"/>
                <w:szCs w:val="16"/>
                <w:lang w:val="en-AU"/>
              </w:rPr>
              <w:br/>
              <w:t>або 10 мл в ампулах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мг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50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43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Фентаніл (Fentanyl)**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ін’єкції: 0,05 мг/мл по 2 мл в ампулах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амп.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44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Фуросемід (Furosemide)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ін’єкції: 10 мг/мл по 2 мл в ампулах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амп.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5</w:t>
            </w:r>
          </w:p>
        </w:tc>
      </w:tr>
      <w:tr w:rsidR="007A7EEE" w:rsidRPr="008455CB">
        <w:trPr>
          <w:trHeight w:val="60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45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 xml:space="preserve">Хлоргексидин (Chlorhexidine)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розчин: 0,05 % (біглюконат) у флаконах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мл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1" w:type="dxa"/>
              <w:left w:w="68" w:type="dxa"/>
              <w:bottom w:w="74" w:type="dxa"/>
              <w:right w:w="68" w:type="dxa"/>
            </w:tcMar>
          </w:tcPr>
          <w:p w:rsidR="007A7EEE" w:rsidRPr="008455CB" w:rsidRDefault="00E261BD">
            <w:pPr>
              <w:pStyle w:val="TableTABL"/>
              <w:jc w:val="center"/>
              <w:rPr>
                <w:noProof/>
                <w:lang w:val="en-AU"/>
              </w:rPr>
            </w:pPr>
            <w:r w:rsidRPr="008455CB">
              <w:rPr>
                <w:noProof/>
                <w:sz w:val="16"/>
                <w:szCs w:val="16"/>
                <w:lang w:val="en-AU"/>
              </w:rPr>
              <w:t>200</w:t>
            </w:r>
          </w:p>
        </w:tc>
      </w:tr>
    </w:tbl>
    <w:p w:rsidR="007A7EEE" w:rsidRPr="008455CB" w:rsidRDefault="007A7EEE">
      <w:pPr>
        <w:pStyle w:val="Ch61"/>
        <w:rPr>
          <w:noProof/>
          <w:sz w:val="19"/>
          <w:szCs w:val="19"/>
          <w:lang w:val="en-AU"/>
        </w:rPr>
      </w:pPr>
    </w:p>
    <w:p w:rsidR="007A7EEE" w:rsidRPr="008455CB" w:rsidRDefault="00E261BD">
      <w:pPr>
        <w:pStyle w:val="PrimitkaPRIMITKA"/>
        <w:spacing w:before="113" w:after="0"/>
        <w:rPr>
          <w:noProof/>
          <w:lang w:val="en-AU"/>
        </w:rPr>
      </w:pPr>
      <w:r w:rsidRPr="008455CB">
        <w:rPr>
          <w:b/>
          <w:noProof/>
          <w:lang w:val="en-AU"/>
        </w:rPr>
        <w:t>Примітки:</w:t>
      </w:r>
      <w:r w:rsidRPr="008455CB">
        <w:rPr>
          <w:noProof/>
          <w:lang w:val="en-AU"/>
        </w:rPr>
        <w:tab/>
        <w:t>* набір лікарських засобів не є вичерпним, кількість розраховується відповідно до потреб і повинна забезпечувати доступність лікарських засобів для використання персоналом в умовах надання медичної допомоги при невідкладних ст</w:t>
      </w:r>
      <w:bookmarkStart w:id="0" w:name="_GoBack"/>
      <w:bookmarkEnd w:id="0"/>
      <w:r w:rsidRPr="008455CB">
        <w:rPr>
          <w:noProof/>
          <w:lang w:val="en-AU"/>
        </w:rPr>
        <w:t>анах.</w:t>
      </w:r>
    </w:p>
    <w:p w:rsidR="007A7EEE" w:rsidRPr="008455CB" w:rsidRDefault="00E261BD">
      <w:pPr>
        <w:pStyle w:val="PrimitkaPRIMITKA"/>
        <w:spacing w:before="0" w:after="0"/>
        <w:rPr>
          <w:noProof/>
          <w:lang w:val="en-AU"/>
        </w:rPr>
      </w:pPr>
      <w:r w:rsidRPr="008455CB">
        <w:rPr>
          <w:noProof/>
          <w:lang w:val="en-AU"/>
        </w:rPr>
        <w:tab/>
        <w:t>** лікарські засоби мають бути доступними для пацієнтів модуля ПМД при виникненні у них невідкладних станів (можуть належати до переліку лікарських засобів інших модулів, що входять до складу МТФ, у якому розгорнуто модуль ПМД. Водночас, у разі надходження пацієнта у невідкладному стані до модуля ПМД або виникнення такого стану безпосередньо в модулі, відповідні лікарські засоби мають бути доступні. Якщо модуль ПМД розгорнуто окремо, без супутніх модулів із зазначеними лікарськими засобами, ці лікарські засоби мають бути включені до його забезпечення).</w:t>
      </w:r>
    </w:p>
    <w:p w:rsidR="00E261BD" w:rsidRPr="008455CB" w:rsidRDefault="00E261BD">
      <w:pPr>
        <w:pStyle w:val="Ch61"/>
        <w:rPr>
          <w:noProof/>
          <w:lang w:val="en-AU"/>
        </w:rPr>
      </w:pPr>
    </w:p>
    <w:sectPr w:rsidR="00E261BD" w:rsidRPr="008455CB">
      <w:pgSz w:w="9071" w:h="13606"/>
      <w:pgMar w:top="567" w:right="567" w:bottom="567" w:left="567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agmatica-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iosCon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 (OTF)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T Pragmatica Medium Baltic  R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bordersDoNotSurroundHeader/>
  <w:bordersDoNotSurroundFooter/>
  <w:proofState w:spelling="clean" w:grammar="clean"/>
  <w:defaultTabStop w:val="720"/>
  <w:autoHyphenation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FE3"/>
    <w:rsid w:val="001B4FE3"/>
    <w:rsid w:val="00782189"/>
    <w:rsid w:val="007A7EEE"/>
    <w:rsid w:val="008455CB"/>
    <w:rsid w:val="00E261BD"/>
    <w:rsid w:val="00F4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8CA43B"/>
  <w14:defaultImageDpi w14:val="0"/>
  <w15:docId w15:val="{BC2E6B1D-369B-4B26-A5FB-533A1D60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Немає стилю абзацу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a4">
    <w:name w:val="[Основний абзац]"/>
    <w:basedOn w:val="a3"/>
    <w:uiPriority w:val="99"/>
    <w:pPr>
      <w:tabs>
        <w:tab w:val="right" w:pos="7767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5">
    <w:name w:val="Додаток № (Общие:Базовые)"/>
    <w:basedOn w:val="a4"/>
    <w:uiPriority w:val="99"/>
    <w:pPr>
      <w:tabs>
        <w:tab w:val="clear" w:pos="7767"/>
        <w:tab w:val="right" w:pos="6350"/>
      </w:tabs>
      <w:spacing w:before="567"/>
      <w:ind w:firstLine="0"/>
      <w:jc w:val="left"/>
    </w:pPr>
    <w:rPr>
      <w:sz w:val="17"/>
      <w:szCs w:val="17"/>
    </w:rPr>
  </w:style>
  <w:style w:type="paragraph" w:customStyle="1" w:styleId="a6">
    <w:name w:val="Додаток № (Общие)"/>
    <w:basedOn w:val="a5"/>
    <w:uiPriority w:val="99"/>
    <w:pPr>
      <w:keepLines/>
      <w:tabs>
        <w:tab w:val="clear" w:pos="6350"/>
        <w:tab w:val="right" w:pos="7710"/>
      </w:tabs>
      <w:suppressAutoHyphens/>
      <w:spacing w:before="397"/>
      <w:ind w:left="3969"/>
    </w:pPr>
  </w:style>
  <w:style w:type="paragraph" w:customStyle="1" w:styleId="Ch6">
    <w:name w:val="Додаток № (Ch_6 Міністерства)"/>
    <w:basedOn w:val="a6"/>
    <w:uiPriority w:val="99"/>
    <w:pPr>
      <w:keepNext/>
    </w:pPr>
  </w:style>
  <w:style w:type="paragraph" w:customStyle="1" w:styleId="a7">
    <w:name w:val="Заголовок Додатка (Общие:Базовые)"/>
    <w:basedOn w:val="a3"/>
    <w:uiPriority w:val="99"/>
    <w:pPr>
      <w:keepNext/>
      <w:tabs>
        <w:tab w:val="right" w:pos="6350"/>
      </w:tabs>
      <w:spacing w:before="397" w:after="113" w:line="257" w:lineRule="auto"/>
      <w:jc w:val="center"/>
    </w:pPr>
    <w:rPr>
      <w:rFonts w:ascii="Pragmatica-Bold" w:hAnsi="Pragmatica-Bold" w:cs="Pragmatica-Bold"/>
      <w:b/>
      <w:bCs/>
      <w:w w:val="90"/>
      <w:sz w:val="19"/>
      <w:szCs w:val="19"/>
      <w:lang w:val="uk-UA"/>
    </w:rPr>
  </w:style>
  <w:style w:type="paragraph" w:customStyle="1" w:styleId="a8">
    <w:name w:val="Заголовок Додатка (Общие)"/>
    <w:basedOn w:val="a7"/>
    <w:uiPriority w:val="99"/>
    <w:pPr>
      <w:keepLines/>
      <w:tabs>
        <w:tab w:val="clear" w:pos="6350"/>
        <w:tab w:val="right" w:pos="7710"/>
      </w:tabs>
      <w:suppressAutoHyphens/>
    </w:pPr>
  </w:style>
  <w:style w:type="paragraph" w:customStyle="1" w:styleId="Ch60">
    <w:name w:val="Заголовок Додатка (Ch_6 Міністерства)"/>
    <w:basedOn w:val="a8"/>
    <w:uiPriority w:val="99"/>
    <w:pPr>
      <w:spacing w:before="283"/>
    </w:pPr>
  </w:style>
  <w:style w:type="paragraph" w:customStyle="1" w:styleId="a9">
    <w:name w:val="Основной текст (Общие:Базовые)"/>
    <w:basedOn w:val="a3"/>
    <w:uiPriority w:val="99"/>
    <w:pPr>
      <w:tabs>
        <w:tab w:val="right" w:pos="6350"/>
        <w:tab w:val="right" w:pos="9383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a">
    <w:name w:val="Основной текст (Общие)"/>
    <w:basedOn w:val="a9"/>
    <w:uiPriority w:val="99"/>
    <w:pPr>
      <w:tabs>
        <w:tab w:val="clear" w:pos="6350"/>
        <w:tab w:val="clear" w:pos="9383"/>
        <w:tab w:val="right" w:pos="7710"/>
        <w:tab w:val="right" w:pos="11514"/>
        <w:tab w:val="right" w:pos="11707"/>
      </w:tabs>
    </w:pPr>
  </w:style>
  <w:style w:type="paragraph" w:customStyle="1" w:styleId="Ch61">
    <w:name w:val="Основной текст (Ch_6 Міністерства)"/>
    <w:basedOn w:val="aa"/>
    <w:uiPriority w:val="99"/>
    <w:pPr>
      <w:tabs>
        <w:tab w:val="clear" w:pos="11707"/>
      </w:tabs>
    </w:pPr>
  </w:style>
  <w:style w:type="paragraph" w:customStyle="1" w:styleId="PrimitkiPRIMITKA">
    <w:name w:val="Primitki (PRIMITKA)"/>
    <w:basedOn w:val="a4"/>
    <w:uiPriority w:val="99"/>
    <w:pPr>
      <w:tabs>
        <w:tab w:val="clear" w:pos="7767"/>
        <w:tab w:val="right" w:pos="1020"/>
        <w:tab w:val="right" w:pos="6350"/>
      </w:tabs>
      <w:ind w:left="1089" w:hanging="1089"/>
    </w:pPr>
    <w:rPr>
      <w:sz w:val="17"/>
      <w:szCs w:val="17"/>
    </w:rPr>
  </w:style>
  <w:style w:type="paragraph" w:customStyle="1" w:styleId="PrimitkaPRIMITKA">
    <w:name w:val="Primitka (PRIMITKA)"/>
    <w:basedOn w:val="PrimitkiPRIMITKA"/>
    <w:uiPriority w:val="99"/>
    <w:pPr>
      <w:spacing w:before="142" w:after="142"/>
      <w:ind w:left="850" w:hanging="850"/>
    </w:pPr>
  </w:style>
  <w:style w:type="paragraph" w:customStyle="1" w:styleId="ab">
    <w:name w:val="Простой подзаголовок (Общие:Базовые)"/>
    <w:basedOn w:val="a3"/>
    <w:uiPriority w:val="99"/>
    <w:pPr>
      <w:keepNext/>
      <w:tabs>
        <w:tab w:val="right" w:pos="6350"/>
      </w:tabs>
      <w:spacing w:after="57" w:line="257" w:lineRule="auto"/>
      <w:jc w:val="both"/>
    </w:pPr>
    <w:rPr>
      <w:rFonts w:ascii="Pragmatica-Bold" w:hAnsi="Pragmatica-Bold" w:cs="Pragmatica-Bold"/>
      <w:b/>
      <w:bCs/>
      <w:w w:val="90"/>
      <w:sz w:val="18"/>
      <w:szCs w:val="18"/>
      <w:lang w:val="uk-UA"/>
    </w:rPr>
  </w:style>
  <w:style w:type="paragraph" w:customStyle="1" w:styleId="ac">
    <w:name w:val="Простой подзаголовок (Общие)"/>
    <w:basedOn w:val="ab"/>
    <w:uiPriority w:val="99"/>
    <w:pPr>
      <w:keepLines/>
      <w:tabs>
        <w:tab w:val="clear" w:pos="6350"/>
        <w:tab w:val="right" w:pos="7710"/>
      </w:tabs>
      <w:suppressAutoHyphens/>
      <w:spacing w:before="113"/>
      <w:ind w:left="283"/>
      <w:jc w:val="left"/>
    </w:pPr>
  </w:style>
  <w:style w:type="paragraph" w:customStyle="1" w:styleId="Ch62">
    <w:name w:val="Простой подзаголовок (Ch_6 Міністерства)"/>
    <w:basedOn w:val="ac"/>
    <w:uiPriority w:val="99"/>
  </w:style>
  <w:style w:type="paragraph" w:customStyle="1" w:styleId="Ch63">
    <w:name w:val="Основной текст (без абзаца) (Ch_6 Міністерства)"/>
    <w:basedOn w:val="Ch61"/>
    <w:uiPriority w:val="99"/>
    <w:pPr>
      <w:tabs>
        <w:tab w:val="right" w:leader="underscore" w:pos="7710"/>
        <w:tab w:val="right" w:leader="underscore" w:pos="11514"/>
      </w:tabs>
      <w:ind w:firstLine="0"/>
    </w:pPr>
  </w:style>
  <w:style w:type="paragraph" w:customStyle="1" w:styleId="TableshapkaTABL">
    <w:name w:val="Table_shapka (TABL)"/>
    <w:basedOn w:val="a4"/>
    <w:uiPriority w:val="99"/>
    <w:pPr>
      <w:tabs>
        <w:tab w:val="clear" w:pos="7767"/>
        <w:tab w:val="right" w:pos="6350"/>
      </w:tabs>
      <w:suppressAutoHyphens/>
      <w:ind w:firstLine="0"/>
      <w:jc w:val="center"/>
    </w:pPr>
    <w:rPr>
      <w:sz w:val="15"/>
      <w:szCs w:val="15"/>
    </w:rPr>
  </w:style>
  <w:style w:type="paragraph" w:customStyle="1" w:styleId="TableTABL">
    <w:name w:val="Table (TABL)"/>
    <w:basedOn w:val="a4"/>
    <w:uiPriority w:val="99"/>
    <w:pPr>
      <w:suppressAutoHyphens/>
      <w:spacing w:line="252" w:lineRule="auto"/>
      <w:ind w:firstLine="0"/>
      <w:jc w:val="left"/>
    </w:pPr>
    <w:rPr>
      <w:rFonts w:ascii="HeliosCond" w:hAnsi="HeliosCond" w:cs="HeliosCond"/>
      <w:spacing w:val="-2"/>
      <w:w w:val="100"/>
      <w:sz w:val="17"/>
      <w:szCs w:val="17"/>
    </w:rPr>
  </w:style>
  <w:style w:type="character" w:customStyle="1" w:styleId="bold">
    <w:name w:val="bold"/>
    <w:uiPriority w:val="99"/>
    <w:rPr>
      <w:b/>
      <w:bCs/>
    </w:rPr>
  </w:style>
  <w:style w:type="character" w:customStyle="1" w:styleId="55">
    <w:name w:val="Зажато55 (Вспомогательные)"/>
    <w:uiPriority w:val="99"/>
  </w:style>
  <w:style w:type="character" w:customStyle="1" w:styleId="superscript">
    <w:name w:val="superscript"/>
    <w:uiPriority w:val="99"/>
    <w:rPr>
      <w:w w:val="90"/>
      <w:vertAlign w:val="superscript"/>
    </w:rPr>
  </w:style>
  <w:style w:type="character" w:customStyle="1" w:styleId="ad">
    <w:name w:val="Градус (Вспомогательные)"/>
    <w:uiPriority w:val="99"/>
    <w:rPr>
      <w:rFonts w:ascii="HeliosCond" w:hAnsi="HeliosCond" w:cs="HeliosCond"/>
    </w:rPr>
  </w:style>
  <w:style w:type="character" w:customStyle="1" w:styleId="ae">
    <w:name w:val="звездочка"/>
    <w:uiPriority w:val="99"/>
    <w:rPr>
      <w:w w:val="100"/>
      <w:position w:val="0"/>
      <w:sz w:val="18"/>
      <w:szCs w:val="18"/>
    </w:rPr>
  </w:style>
  <w:style w:type="character" w:customStyle="1" w:styleId="20">
    <w:name w:val="Снять Зажато20 (Вспомогательные)"/>
    <w:uiPriority w:val="99"/>
  </w:style>
  <w:style w:type="character" w:customStyle="1" w:styleId="1">
    <w:name w:val="Стиль символа 1 (Вспомогательные)"/>
    <w:uiPriority w:val="99"/>
    <w:rPr>
      <w:rFonts w:ascii="Symbol (OTF) Regular" w:hAnsi="Symbol (OTF) Regular" w:cs="Symbol (OTF) Regular"/>
    </w:rPr>
  </w:style>
  <w:style w:type="character" w:customStyle="1" w:styleId="500">
    <w:name w:val="500"/>
    <w:uiPriority w:val="99"/>
  </w:style>
  <w:style w:type="character" w:customStyle="1" w:styleId="Postanovla">
    <w:name w:val="Postanovla"/>
    <w:uiPriority w:val="99"/>
  </w:style>
  <w:style w:type="character" w:customStyle="1" w:styleId="PragmaticaB">
    <w:name w:val="PragmaticaB"/>
    <w:uiPriority w:val="99"/>
    <w:rPr>
      <w:rFonts w:ascii="PT Pragmatica Medium Baltic  Re" w:hAnsi="PT Pragmatica Medium Baltic  Re" w:cs="PT Pragmatica Medium Baltic  Re"/>
    </w:rPr>
  </w:style>
  <w:style w:type="character" w:customStyle="1" w:styleId="Bold0">
    <w:name w:val="Bold (Вспомогательные)"/>
    <w:uiPriority w:val="99"/>
    <w:rPr>
      <w:b/>
      <w:bCs/>
    </w:rPr>
  </w:style>
  <w:style w:type="character" w:customStyle="1" w:styleId="superscriptsnoska">
    <w:name w:val="superscript_snoska"/>
    <w:uiPriority w:val="99"/>
    <w:rPr>
      <w:spacing w:val="13"/>
      <w:w w:val="90"/>
      <w:position w:val="2"/>
      <w:sz w:val="16"/>
      <w:szCs w:val="16"/>
      <w:vertAlign w:val="superscript"/>
    </w:rPr>
  </w:style>
  <w:style w:type="character" w:customStyle="1" w:styleId="14pt">
    <w:name w:val="Отбивка 14pt (Вспомогательные)"/>
    <w:uiPriority w:val="99"/>
  </w:style>
  <w:style w:type="character" w:customStyle="1" w:styleId="base">
    <w:name w:val="base"/>
    <w:uiPriority w:val="99"/>
    <w:rPr>
      <w:rFonts w:ascii="Pragmatica-Book" w:hAnsi="Pragmatica-Book" w:cs="Pragmatica-Book"/>
      <w:spacing w:val="2"/>
      <w:sz w:val="18"/>
      <w:szCs w:val="18"/>
      <w:vertAlign w:val="baseline"/>
    </w:rPr>
  </w:style>
  <w:style w:type="character" w:customStyle="1" w:styleId="af">
    <w:name w:val="ЗажатоПЖ (Вспомогательные)"/>
    <w:uiPriority w:val="99"/>
    <w:rPr>
      <w:w w:val="120"/>
    </w:rPr>
  </w:style>
  <w:style w:type="character" w:customStyle="1" w:styleId="200">
    <w:name w:val="В р а з р я д к у 200 (Вспомогательные)"/>
    <w:uiPriority w:val="99"/>
  </w:style>
  <w:style w:type="character" w:customStyle="1" w:styleId="Regular">
    <w:name w:val="Regular (Вспомогательные)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3644</Words>
  <Characters>2078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Черченко Людмила Володимирівна</cp:lastModifiedBy>
  <cp:revision>6</cp:revision>
  <dcterms:created xsi:type="dcterms:W3CDTF">2025-10-03T09:29:00Z</dcterms:created>
  <dcterms:modified xsi:type="dcterms:W3CDTF">2025-10-06T06:13:00Z</dcterms:modified>
</cp:coreProperties>
</file>