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Verdana" w:hAnsi="Verdana"/>
          <w:sz w:val="22"/>
          <w:szCs w:val="22"/>
          <w:lang w:val="ru-RU"/>
        </w:rPr>
      </w:pPr>
      <w:r>
        <w:rPr>
          <w:rFonts w:ascii="Verdana" w:hAnsi="Verdana"/>
          <w:sz w:val="22"/>
          <w:szCs w:val="22"/>
          <w:lang w:val="ru-RU"/>
        </w:rPr>
        <w:t>Приложение №</w:t>
      </w:r>
      <w:r>
        <w:rPr>
          <w:rFonts w:ascii="Verdana" w:hAnsi="Verdana"/>
          <w:sz w:val="22"/>
          <w:szCs w:val="22"/>
        </w:rPr>
        <w:t> </w:t>
      </w:r>
      <w:r>
        <w:rPr>
          <w:rFonts w:ascii="Verdana" w:hAnsi="Verdana"/>
          <w:sz w:val="22"/>
          <w:szCs w:val="22"/>
          <w:lang w:val="ru-RU"/>
        </w:rPr>
        <w:t>1</w:t>
      </w:r>
    </w:p>
    <w:p>
      <w:pPr>
        <w:pStyle w:val="Normal"/>
        <w:jc w:val="right"/>
        <w:rPr>
          <w:rFonts w:ascii="Verdana" w:hAnsi="Verdana"/>
          <w:sz w:val="22"/>
          <w:szCs w:val="22"/>
          <w:lang w:val="ru-RU"/>
        </w:rPr>
      </w:pPr>
      <w:r>
        <w:rPr>
          <w:rFonts w:ascii="Verdana" w:hAnsi="Verdana"/>
          <w:sz w:val="22"/>
          <w:szCs w:val="22"/>
          <w:lang w:val="ru-RU"/>
        </w:rPr>
        <w:t xml:space="preserve">к Договору подряда на выполнение проектных работ </w:t>
      </w:r>
    </w:p>
    <w:p>
      <w:pPr>
        <w:pStyle w:val="Normal"/>
        <w:jc w:val="right"/>
        <w:rPr/>
      </w:pPr>
      <w:r>
        <w:rPr>
          <w:rFonts w:ascii="Verdana" w:hAnsi="Verdana"/>
          <w:sz w:val="22"/>
          <w:szCs w:val="22"/>
          <w:lang w:val="ru-RU"/>
        </w:rPr>
        <w:t xml:space="preserve">№ </w:t>
      </w:r>
      <w:r>
        <w:rPr>
          <w:rFonts w:ascii="Verdana" w:hAnsi="Verdana"/>
          <w:color w:val="FF0000"/>
          <w:sz w:val="22"/>
          <w:szCs w:val="22"/>
          <w:lang w:val="ru-RU"/>
        </w:rPr>
        <w:t>{НомерДоговора}</w:t>
      </w:r>
    </w:p>
    <w:p>
      <w:pPr>
        <w:pStyle w:val="Normal"/>
        <w:jc w:val="both"/>
        <w:rPr>
          <w:rFonts w:ascii="Verdana" w:hAnsi="Verdana"/>
          <w:sz w:val="22"/>
          <w:szCs w:val="22"/>
          <w:lang w:val="ru-RU"/>
        </w:rPr>
      </w:pPr>
      <w:r>
        <w:rPr>
          <w:rFonts w:ascii="Verdana" w:hAnsi="Verdana"/>
          <w:sz w:val="22"/>
          <w:szCs w:val="22"/>
          <w:lang w:val="ru-RU"/>
        </w:rPr>
      </w:r>
    </w:p>
    <w:p>
      <w:pPr>
        <w:pStyle w:val="Normal"/>
        <w:jc w:val="both"/>
        <w:rPr/>
      </w:pPr>
      <w:r>
        <w:rPr>
          <w:rFonts w:ascii="Verdana" w:hAnsi="Verdana"/>
          <w:sz w:val="22"/>
          <w:szCs w:val="22"/>
          <w:lang w:val="ru-RU"/>
        </w:rPr>
        <w:t>Объект: «</w:t>
      </w:r>
      <w:r>
        <w:rPr>
          <w:rFonts w:ascii="Verdana" w:hAnsi="Verdana"/>
          <w:color w:val="FF0000"/>
          <w:sz w:val="22"/>
          <w:szCs w:val="22"/>
          <w:lang w:val="ru-RU"/>
        </w:rPr>
        <w:t>{ОсновноеНазвание}</w:t>
      </w:r>
      <w:r>
        <w:rPr>
          <w:rFonts w:ascii="Verdana" w:hAnsi="Verdana"/>
          <w:sz w:val="22"/>
          <w:szCs w:val="22"/>
          <w:lang w:val="ru-RU"/>
        </w:rPr>
        <w:t>»</w:t>
      </w:r>
    </w:p>
    <w:p>
      <w:pPr>
        <w:pStyle w:val="Normal"/>
        <w:spacing w:lineRule="auto" w:line="254" w:before="0" w:after="160"/>
        <w:rPr>
          <w:rFonts w:ascii="Verdana" w:hAnsi="Verdana"/>
          <w:b/>
          <w:b/>
          <w:sz w:val="22"/>
          <w:szCs w:val="22"/>
          <w:lang w:val="ru-RU"/>
        </w:rPr>
      </w:pPr>
      <w:r>
        <w:rPr>
          <w:rFonts w:ascii="Verdana" w:hAnsi="Verdana"/>
          <w:b/>
          <w:sz w:val="22"/>
          <w:szCs w:val="22"/>
          <w:lang w:val="ru-RU"/>
        </w:rPr>
      </w:r>
    </w:p>
    <w:p>
      <w:pPr>
        <w:pStyle w:val="Normal"/>
        <w:spacing w:lineRule="auto" w:line="254" w:before="0" w:after="160"/>
        <w:jc w:val="center"/>
        <w:rPr>
          <w:rFonts w:ascii="Verdana" w:hAnsi="Verdana"/>
          <w:b/>
          <w:b/>
          <w:sz w:val="26"/>
          <w:szCs w:val="26"/>
          <w:lang w:val="ru-RU"/>
        </w:rPr>
      </w:pPr>
      <w:r>
        <w:rPr>
          <w:rFonts w:ascii="Verdana" w:hAnsi="Verdana"/>
          <w:b/>
          <w:sz w:val="26"/>
          <w:szCs w:val="26"/>
          <w:lang w:val="ru-RU"/>
        </w:rPr>
        <w:t>ЗАДАНИЕ НА ПРОЕКТИРОВАНИЕ</w:t>
      </w:r>
    </w:p>
    <w:tbl>
      <w:tblPr>
        <w:tblStyle w:val="TableNormal"/>
        <w:tblW w:w="981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4"/>
        <w:gridCol w:w="7397"/>
      </w:tblGrid>
      <w:tr>
        <w:trPr>
          <w:trHeight w:val="262" w:hRule="atLeast"/>
        </w:trPr>
        <w:tc>
          <w:tcPr>
            <w:tcW w:w="9811" w:type="dxa"/>
            <w:gridSpan w:val="2"/>
            <w:tcBorders/>
            <w:shd w:fill="auto" w:val="clear"/>
          </w:tcPr>
          <w:p>
            <w:pPr>
              <w:pStyle w:val="Heading1"/>
              <w:spacing w:lineRule="auto" w:line="276" w:before="24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>СВЕДЕНИЯ ОБ ОБЪЕКТЕ</w:t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Наименование и адрес объекта</w:t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FF0000"/>
              </w:rPr>
              <w:t>{НаименованиеОбъекта}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FF0000"/>
              </w:rPr>
            </w:pPr>
            <w:r>
              <w:rPr>
                <w:rFonts w:eastAsia="Arial Unicode MS" w:cs="Arial Unicode MS" w:ascii="Verdana" w:hAnsi="Verdana"/>
                <w:color w:val="FF0000"/>
              </w:rPr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Маркетинговое название проекта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FF0000"/>
              </w:rPr>
              <w:t>{МаркетинговоеНазвание}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  <w:lang w:val="en-US"/>
              </w:rPr>
            </w:pPr>
            <w:r>
              <w:rPr>
                <w:rFonts w:eastAsia="Arial Unicode MS" w:cs="Arial Unicode MS" w:ascii="Verdana" w:hAnsi="Verdana"/>
                <w:color w:val="00000A"/>
                <w:lang w:val="en-US"/>
              </w:rPr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Функциональное назначение объекта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FF0000"/>
              </w:rPr>
              <w:t>{ФункциональноеНазначение}</w:t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Характеристики объекта</w:t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Степень огнестойкости здания </w:t>
            </w:r>
            <w:r>
              <w:rPr>
                <w:rFonts w:eastAsia="Arial Unicode MS" w:cs="Arial Unicode MS" w:ascii="Verdana" w:hAnsi="Verdana"/>
                <w:color w:val="FF0000"/>
              </w:rPr>
              <w:t>{СтепеньОгнестойкости}</w:t>
            </w:r>
          </w:p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Класс функциональной пожарной опасности </w:t>
            </w:r>
            <w:r>
              <w:rPr>
                <w:rFonts w:eastAsia="Arial Unicode MS" w:cs="Arial Unicode MS" w:ascii="Verdana" w:hAnsi="Verdana"/>
                <w:color w:val="FF0000"/>
              </w:rPr>
              <w:t>{ФункциональнаяПожарнаяОпасность}</w:t>
            </w:r>
          </w:p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Класс конструктивной пожарной опасности </w:t>
            </w:r>
            <w:r>
              <w:rPr>
                <w:rFonts w:eastAsia="Arial Unicode MS" w:cs="Arial Unicode MS" w:ascii="Verdana" w:hAnsi="Verdana"/>
                <w:color w:val="FF0000"/>
              </w:rPr>
              <w:t>{КонструктивнаяПожарнаяОпасность}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Вид строительства</w:t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Новое строительство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Источник финансирования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Собственные средства Заказчика</w:t>
            </w:r>
          </w:p>
        </w:tc>
      </w:tr>
      <w:tr>
        <w:trPr>
          <w:trHeight w:val="18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Исходно-разрешительная документация для проектирования</w:t>
            </w:r>
          </w:p>
        </w:tc>
        <w:tc>
          <w:tcPr>
            <w:tcW w:w="7397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Предоставляется Заказчиком в объёме, установленном ст. 44-51 Градостроительного кодекса РФ, необходимом для проектирования.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tbl>
      <w:tblPr>
        <w:tblStyle w:val="TableNormal"/>
        <w:tblW w:w="981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4"/>
        <w:gridCol w:w="3959"/>
        <w:gridCol w:w="3439"/>
      </w:tblGrid>
      <w:tr>
        <w:trPr>
          <w:trHeight w:val="312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Heading1"/>
              <w:pageBreakBefore/>
              <w:spacing w:lineRule="auto" w:line="276" w:before="24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>СВЕДЕНИЯ О КОМАНДЕ</w:t>
            </w:r>
          </w:p>
        </w:tc>
      </w:tr>
      <w:tr>
        <w:trPr>
          <w:trHeight w:val="551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Заказчик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FF0000"/>
              </w:rPr>
              <w:t>{ЗаказчикНаименование}</w:t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Функционал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Исходные данные и ограничения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Утверждение ключевых решений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Контроль ТЭП и стоимости строительства через систему сбалансированных коэффициентов (ССК)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</w:tc>
        <w:tc>
          <w:tcPr>
            <w:tcW w:w="343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Контактное лицо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Руководитель проекта</w:t>
            </w:r>
          </w:p>
          <w:p>
            <w:pPr>
              <w:pStyle w:val="22"/>
              <w:rPr/>
            </w:pPr>
            <w:r>
              <w:rPr>
                <w:rFonts w:eastAsia="Arial Unicode MS" w:cs="Arial Unicode MS" w:ascii="Verdana" w:hAnsi="Verdana"/>
                <w:color w:val="FF0000"/>
                <w:sz w:val="20"/>
                <w:szCs w:val="20"/>
                <w:lang w:val="ru-RU"/>
              </w:rPr>
              <w:t>{ЗаказчикИмя}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Tel.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{ЗаказчикТелефон}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email: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{Зака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з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чикПочта}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Skype: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{ЗаказчикСкайп}</w:t>
            </w:r>
          </w:p>
        </w:tc>
      </w:tr>
      <w:tr>
        <w:trPr>
          <w:trHeight w:val="551" w:hRule="atLeast"/>
        </w:trPr>
        <w:tc>
          <w:tcPr>
            <w:tcW w:w="2414" w:type="dxa"/>
            <w:vMerge w:val="restart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  <w:lang w:val="en-US"/>
              </w:rPr>
              <w:t>BIM</w:t>
            </w:r>
            <w:r>
              <w:rPr>
                <w:rFonts w:ascii="Verdana" w:hAnsi="Verdana"/>
                <w:color w:val="00000A"/>
              </w:rPr>
              <w:t>-менеджмент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>ООО «Брусника. Проектирование»</w:t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Контроль на соответствие 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</w:rPr>
              <w:t>BIM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-Стандарту организации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</w:tc>
        <w:tc>
          <w:tcPr>
            <w:tcW w:w="343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</w:rPr>
              <w:t>BIM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-менеджер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{BIMИмя}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Tel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{BIMТелефон}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email: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{BIMПочта}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Skype: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{BIMСкайп}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  <w:lang w:val="en-US"/>
              </w:rPr>
            </w:pPr>
            <w:r>
              <w:rPr>
                <w:rFonts w:eastAsia="Arial Unicode MS" w:cs="Arial Unicode MS" w:ascii="Verdana" w:hAnsi="Verdana"/>
                <w:color w:val="00000A"/>
                <w:lang w:val="en-US"/>
              </w:rPr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Адаптация нетиповых решений «Конструктор»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</w:tc>
        <w:tc>
          <w:tcPr>
            <w:tcW w:w="3439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Архитектор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{АрхитекторИмя}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Tel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.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{АрхитекторТелефон}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email: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{АрхитекторПочта}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Skype: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{Архите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к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торСкайп}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79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Генпроектировщик</w:t>
            </w:r>
          </w:p>
          <w:p>
            <w:pPr>
              <w:pStyle w:val="Normal"/>
              <w:rPr/>
            </w:pPr>
            <w:r>
              <w:rPr>
                <w:rFonts w:eastAsia="Arial Unicode MS" w:cs="Arial Unicode MS" w:ascii="Verdana" w:hAnsi="Verdana"/>
                <w:color w:val="FF0000"/>
                <w:sz w:val="20"/>
                <w:szCs w:val="20"/>
              </w:rPr>
              <w:t>{ГенпроектировщикНаименование}</w:t>
            </w:r>
          </w:p>
        </w:tc>
        <w:tc>
          <w:tcPr>
            <w:tcW w:w="3959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ЭТАП ДЕТАЛЬНЫЙ ПРОЕКТ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Стадия Концепция проекта: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Консультация привлеченного Заказчиком высококомпетентного архитектора для формирования визуального образа объекта (далее Автор-архитектор)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наружных сетей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Стадия Проектные решения: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итоговых планов</w:t>
            </w:r>
          </w:p>
          <w:p>
            <w:pPr>
              <w:pStyle w:val="22"/>
              <w:numPr>
                <w:ilvl w:val="0"/>
                <w:numId w:val="9"/>
              </w:numPr>
              <w:ind w:left="720" w:right="132" w:hanging="360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Расчет инсоляции</w:t>
            </w:r>
          </w:p>
          <w:p>
            <w:pPr>
              <w:pStyle w:val="22"/>
              <w:numPr>
                <w:ilvl w:val="0"/>
                <w:numId w:val="9"/>
              </w:numPr>
              <w:ind w:left="720" w:right="132" w:hanging="360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Расчет ССК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архитектурных, инженерных и конструктивных решений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Разработка </w:t>
            </w:r>
            <w:r>
              <w:rPr>
                <w:rFonts w:eastAsia="Arial Unicode MS" w:cs="Arial Unicode MS" w:ascii="Verdana" w:hAnsi="Verdana"/>
                <w:color w:val="00000A"/>
                <w:lang w:val="en-US"/>
              </w:rPr>
              <w:t xml:space="preserve">BIM </w:t>
            </w:r>
            <w:r>
              <w:rPr>
                <w:rFonts w:eastAsia="Arial Unicode MS" w:cs="Arial Unicode MS" w:ascii="Verdana" w:hAnsi="Verdana"/>
                <w:color w:val="00000A"/>
              </w:rPr>
              <w:t>модели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модели для рендера на основании данных от Автора-архитектора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наружных сетей</w:t>
            </w:r>
          </w:p>
          <w:p>
            <w:pPr>
              <w:pStyle w:val="22"/>
              <w:ind w:left="720" w:hanging="0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Стадия Экспертиза проекта: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Оформление стадии П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спец. разделов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Формирование альбома ДП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ЭТАП РАБОЧАЯ ДОКУМЕНТАЦИЯ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Разработка альбомов РД согласно состава Приложение 3 и графика проектирования и платежей Приложение 5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Разработка </w:t>
            </w:r>
            <w:r>
              <w:rPr>
                <w:rFonts w:eastAsia="Arial Unicode MS" w:cs="Arial Unicode MS" w:ascii="Verdana" w:hAnsi="Verdana"/>
                <w:color w:val="00000A"/>
                <w:lang w:val="en-US"/>
              </w:rPr>
              <w:t xml:space="preserve">BIM </w:t>
            </w:r>
            <w:r>
              <w:rPr>
                <w:rFonts w:eastAsia="Arial Unicode MS" w:cs="Arial Unicode MS" w:ascii="Verdana" w:hAnsi="Verdana"/>
                <w:color w:val="00000A"/>
              </w:rPr>
              <w:t>модели</w:t>
            </w:r>
          </w:p>
        </w:tc>
        <w:tc>
          <w:tcPr>
            <w:tcW w:w="3439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ru-RU"/>
              </w:rPr>
              <w:t>ГИП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{ГенпроектировщикИмя}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Tel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{ГенпроектировщикТелефон}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email: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{ГенпроектировщикПочта}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Skype: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{ГенпроектировщикСкайп}</w:t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Heading1"/>
              <w:spacing w:lineRule="auto" w:line="276" w:before="240" w:after="0"/>
              <w:rPr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 xml:space="preserve">ЗАДАЧА ПРОЕКТА </w:t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На основании предоставленных Заказчиком: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>Исходно-разрешительной документации, Приложение 7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>Технических решений «Конструктор»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>Системы сбалансированных коэффициентов (ССК)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>Разработать: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 xml:space="preserve">Проектную документацию </w:t>
            </w: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в соответствии с Постановлением № 87 Правительства РФ от 16 февраля 2008г.</w:t>
            </w:r>
            <w:r>
              <w:rPr>
                <w:rFonts w:cs="Verdana" w:ascii="Verdana" w:hAnsi="Verdana"/>
                <w:sz w:val="20"/>
                <w:szCs w:val="20"/>
                <w:lang w:val="ru-RU"/>
              </w:rPr>
              <w:t xml:space="preserve"> (Стадия П)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>Детальный проект (ДП)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cs="Verdana" w:ascii="Verdana" w:hAnsi="Verdana"/>
                <w:sz w:val="20"/>
                <w:szCs w:val="20"/>
                <w:lang w:val="ru-RU"/>
              </w:rPr>
              <w:t>Рабочую документацию (РД)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Пространственную модель здания в соответствии с ТЗ на </w:t>
            </w:r>
            <w:r>
              <w:rPr>
                <w:rFonts w:ascii="Verdana" w:hAnsi="Verdana"/>
                <w:sz w:val="20"/>
                <w:szCs w:val="20"/>
              </w:rPr>
              <w:t>BIM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Verdana" w:hAnsi="Verdana"/>
                <w:sz w:val="20"/>
                <w:szCs w:val="20"/>
              </w:rPr>
              <w:t>BIM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модель)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Комплект чертежей (</w:t>
            </w:r>
            <w:r>
              <w:rPr>
                <w:rFonts w:ascii="Verdana" w:hAnsi="Verdana"/>
                <w:sz w:val="20"/>
                <w:szCs w:val="20"/>
              </w:rPr>
              <w:t>drawing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set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Heading1"/>
              <w:spacing w:lineRule="auto" w:line="276" w:before="240" w:after="0"/>
              <w:rPr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>ТРЕБОВАНИЯ К ПРОЕКТУ</w:t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>Участок и его ограничения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Участок под строительство с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КН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{УчастокКН}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площадью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{УчастокПлощадь}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Га ограничен улицами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{УчастокОграничения}</w:t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ascii="Verdana" w:hAnsi="Verdana"/>
                <w:color w:val="00000A"/>
              </w:rPr>
              <w:t>Эффективность застройки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Разместить на участке не менее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{ЭффективностьПлощадь}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м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ru-RU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  <w:highlight w:val="yellow"/>
                <w:lang w:val="ru-RU"/>
              </w:rPr>
              <w:t>(в соответствии с программой)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продаваемой площади с учетом помещений для ритейла</w:t>
            </w:r>
          </w:p>
          <w:p>
            <w:pPr>
              <w:pStyle w:val="Normal"/>
              <w:rPr>
                <w:rFonts w:ascii="Verdana" w:hAnsi="Verdana"/>
                <w:color w:val="FF0000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  <w:highlight w:val="yellow"/>
                <w:lang w:val="ru-RU"/>
              </w:rPr>
              <w:t>Нормативы по пятну застройки (не более 40%) не требуется соблюдать под ответственность Заказчика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. 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FF0000"/>
              </w:rPr>
            </w:pPr>
            <w:r>
              <w:rPr>
                <w:rFonts w:eastAsia="Arial Unicode MS" w:cs="Arial Unicode MS" w:ascii="Verdana" w:hAnsi="Verdana"/>
                <w:color w:val="FF0000"/>
              </w:rPr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ascii="Verdana" w:hAnsi="Verdana"/>
                <w:color w:val="00000A"/>
              </w:rPr>
              <w:t>Градостроительные требования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Этажность – принять на основании Альбома мастерплана, Приложение 7.</w:t>
            </w:r>
          </w:p>
          <w:p>
            <w:pPr>
              <w:pStyle w:val="Normal"/>
              <w:rPr>
                <w:rFonts w:ascii="Verdana" w:hAnsi="Verdana" w:cs="Arial Unicode MS"/>
                <w:lang w:val="ru-RU"/>
              </w:rPr>
            </w:pPr>
            <w:r>
              <w:rPr>
                <w:rFonts w:cs="Arial Unicode MS" w:ascii="Verdana" w:hAnsi="Verdana"/>
                <w:lang w:val="ru-RU"/>
              </w:rPr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 xml:space="preserve">Границы проектирования 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Принять по оси межквартальных проездов.</w:t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 xml:space="preserve">Очередность строительства 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{ОчередностьСтроительства}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.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Расположение зданий на участке должно учитывать последовательность освоения участка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>Основные технико-экономические показатели объекта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NoSpacing"/>
              <w:rPr>
                <w:rFonts w:ascii="Verdana" w:hAnsi="Verdana" w:eastAsia="Helvetica" w:cs="Helvetica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Helvetica" w:cs="Helvetica" w:ascii="Verdana" w:hAnsi="Verdana"/>
                <w:color w:val="000000"/>
                <w:sz w:val="20"/>
                <w:szCs w:val="20"/>
                <w:lang w:val="ru-RU" w:eastAsia="ru-RU"/>
              </w:rPr>
              <w:t>Основные технико-экономические показатели объекта уточнить проектом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>АРХИТЕКТУРНО-ПЛАНИРОВОЧНЫЕ РЕШЕНИЯ</w:t>
            </w:r>
          </w:p>
          <w:p>
            <w:pPr>
              <w:pStyle w:val="Normal"/>
              <w:rPr>
                <w:rFonts w:ascii="Verdana" w:hAnsi="Verdana" w:eastAsia="Helvetica" w:cs="Helvetica"/>
                <w:sz w:val="20"/>
                <w:szCs w:val="20"/>
                <w:lang w:val="ru-RU" w:eastAsia="ru-RU"/>
              </w:rPr>
            </w:pPr>
            <w:r>
              <w:rPr>
                <w:rFonts w:eastAsia="Helvetica" w:cs="Helvetica" w:ascii="Verdana" w:hAnsi="Verdana"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rPr>
                <w:rFonts w:ascii="Verdana" w:hAnsi="Verdana"/>
                <w:color w:val="FF0000"/>
                <w:sz w:val="20"/>
                <w:szCs w:val="20"/>
                <w:lang w:val="ru-RU"/>
              </w:rPr>
            </w:pPr>
            <w:r>
              <w:rPr>
                <w:rFonts w:eastAsia="Helvetica" w:cs="Helvetica" w:ascii="Verdana" w:hAnsi="Verdana"/>
                <w:sz w:val="20"/>
                <w:szCs w:val="20"/>
                <w:lang w:val="ru-RU" w:eastAsia="ru-RU"/>
              </w:rPr>
              <w:t>Жилая программа: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1к квартиры  </w:t>
              <w:tab/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{Квартиры1к}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1с квартиры  </w:t>
              <w:tab/>
              <w:tab/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{Квартиры1с}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ListParagraph"/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2к квартиры  </w:t>
              <w:tab/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{Квартиры2к}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2с квартиры </w:t>
              <w:tab/>
              <w:tab/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{Квартиры2с}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3к+ квартиры  </w:t>
              <w:tab/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{Квартиры3к}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3с квартиры  </w:t>
              <w:tab/>
              <w:tab/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{Квартиры3с}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Двухуровневые квартиры  </w:t>
              <w:tab/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{КвартирыДвухуровневые}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%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Для соблюдения требований инсоляции допускается создание двухуровневых квартир на первых 2-х этажах. Также допускается создание двухуровневых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 пентхаусов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на последних этажах зданий.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Высота этажей: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жилых (типовых) этажей от пола до пола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{ВысотаЭтажей}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м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первого и последнего этажей не менее 3,3 м</w:t>
            </w:r>
          </w:p>
          <w:p>
            <w:pPr>
              <w:pStyle w:val="NoSpacing"/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Помещения общественного назначения предусмотреть на 1-м этаже здания со входом в уровне планировки.</w:t>
            </w:r>
          </w:p>
          <w:p>
            <w:pPr>
              <w:pStyle w:val="NoSpacing"/>
              <w:rPr/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На первых этажах здания предусмотреть помещения </w:t>
            </w:r>
            <w:r>
              <w:rPr>
                <w:rFonts w:ascii="Verdana" w:hAnsi="Verdana"/>
                <w:color w:val="FF0000"/>
                <w:sz w:val="20"/>
                <w:szCs w:val="20"/>
                <w:highlight w:val="yellow"/>
                <w:lang w:val="ru-RU"/>
              </w:rPr>
              <w:t>{Помещения}</w:t>
            </w:r>
            <w:r>
              <w:rPr>
                <w:rFonts w:ascii="Verdana" w:hAnsi="Verdana"/>
                <w:sz w:val="20"/>
                <w:szCs w:val="20"/>
                <w:lang w:val="ru-RU"/>
              </w:rPr>
              <w:t>.</w:t>
            </w:r>
          </w:p>
          <w:p>
            <w:pPr>
              <w:pStyle w:val="NoSpacing"/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В подвале – все свободные зоны, не используемые для нужд инженерных помещений и коммуникаций, равномерно разделить на вспомогательные и подсобные помещения средней площадью 4м2.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{Паркинг}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</w:r>
          </w:p>
          <w:p>
            <w:pPr>
              <w:pStyle w:val="Normal"/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Разместить под двором жилого дома, сделать закрытым, неотапливаемым</w:t>
            </w:r>
          </w:p>
          <w:p>
            <w:pPr>
              <w:pStyle w:val="Normal"/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Количество машиномест вычислить проектом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Размер парковочного места принять 2,5х5,3м</w:t>
            </w:r>
          </w:p>
          <w:p>
            <w:pPr>
              <w:pStyle w:val="22"/>
              <w:rPr>
                <w:rFonts w:ascii="Verdana" w:hAnsi="Verdana"/>
                <w:highlight w:val="white"/>
              </w:rPr>
            </w:pPr>
            <w:r>
              <w:rPr>
                <w:rFonts w:ascii="Verdana" w:hAnsi="Verdana"/>
                <w:shd w:fill="FFFFFF" w:val="clear"/>
              </w:rPr>
              <w:t>Высоту паркинга принять от пола до потолка 2,5 м</w:t>
            </w:r>
          </w:p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Дополнительные требования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Разработать мероприятия по обеспечению условий жизнедеятельности маломобильных групп населения согласно СП 59.13330.2012 в части: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в каждой секции жилого дома один из входов организовать с возможностью доступа МГН на посадочный этаж, до лифта, с уровня земли, без ступеней и максимальным порогом 140мм, с размерами тамбура в соответствии с нормами СП 59.13330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ширину всех лоджий принять 1,2м в чистоте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безбарьерность среды на входных группах в торговые помещения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предусмотреть возможность устройства санузлов на 1 этаже, с соблюдением СП 59.13330.2012, силами собственника помещений общественного назначения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приспособление прилегающей территории, включая организацию путей движения, мест отдыха и доступность малых архитектурных форм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fill="FFFFFF" w:val="clear"/>
                <w:lang w:val="ru-RU"/>
              </w:rPr>
              <w:t>машино-места, предназначенные для МГН, запроектировать снаружи, в профилях улиц</w:t>
            </w:r>
          </w:p>
          <w:p>
            <w:pPr>
              <w:pStyle w:val="22"/>
              <w:rPr>
                <w:rFonts w:ascii="Verdana" w:hAnsi="Verdana"/>
                <w:highlight w:val="white"/>
              </w:rPr>
            </w:pPr>
            <w:r>
              <w:rPr>
                <w:rFonts w:ascii="Verdana" w:hAnsi="Verdana"/>
                <w:shd w:fill="FFFFFF" w:val="clear"/>
              </w:rPr>
              <w:t>Не предусматривать специализированные квартиры для проживания МГН.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ascii="Verdana" w:hAnsi="Verdana"/>
                <w:shd w:fill="FFFFFF" w:val="clear"/>
              </w:rPr>
              <w:t>Не предусматривать в проекте устройство мусоропроводов в составе жилого дома, на территории участка запроектировать места расположения заглубляемых контейнеров для нужд сбора ТБО.</w:t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>Сроки проектирования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  <w:t>См. Приложение 5</w:t>
            </w:r>
          </w:p>
          <w:p>
            <w:pPr>
              <w:pStyle w:val="22"/>
              <w:rPr>
                <w:rFonts w:ascii="Verdana" w:hAnsi="Verdana"/>
                <w:color w:val="00000A"/>
              </w:rPr>
            </w:pPr>
            <w:r>
              <w:rPr>
                <w:rFonts w:ascii="Verdana" w:hAnsi="Verdana"/>
                <w:color w:val="00000A"/>
              </w:rPr>
            </w:r>
          </w:p>
        </w:tc>
      </w:tr>
      <w:tr>
        <w:trPr>
          <w:trHeight w:val="258" w:hRule="atLeast"/>
        </w:trPr>
        <w:tc>
          <w:tcPr>
            <w:tcW w:w="2414" w:type="dxa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Гарантийный срок</w:t>
            </w:r>
          </w:p>
        </w:tc>
        <w:tc>
          <w:tcPr>
            <w:tcW w:w="7398" w:type="dxa"/>
            <w:gridSpan w:val="2"/>
            <w:tcBorders/>
            <w:shd w:fill="auto" w:val="clear"/>
          </w:tcPr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На весь период строительно-монтажных работ</w:t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Heading1"/>
              <w:spacing w:lineRule="auto" w:line="276" w:before="24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>СВЕДЕНИЯ О КОММУНИКАЦИИ</w:t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</w:r>
          </w:p>
          <w:p>
            <w:pPr>
              <w:pStyle w:val="Normal"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ОБЩИЕ СВЕДЕНИЯ</w:t>
            </w:r>
          </w:p>
          <w:p>
            <w:pPr>
              <w:pStyle w:val="Normal"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Деловая переписка ведется по электронной почте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В поле «адресат» просим указывать только тех, кому адресовано сообщение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Оперативные вопросы приветствуется решать в онлайн чате, </w:t>
            </w:r>
            <w:r>
              <w:rPr>
                <w:rFonts w:cs="Arial Unicode MS" w:ascii="Verdana" w:hAnsi="Verdana"/>
                <w:sz w:val="20"/>
                <w:szCs w:val="20"/>
              </w:rPr>
              <w:t>Telegram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 </w:t>
            </w:r>
            <w:hyperlink r:id="rId2"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https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://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desktop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.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telegram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.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org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/</w:t>
              </w:r>
            </w:hyperlink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Для видеоконференций используем бесплатный сервис </w:t>
            </w:r>
            <w:r>
              <w:rPr>
                <w:rFonts w:cs="Arial Unicode MS" w:ascii="Verdana" w:hAnsi="Verdana"/>
                <w:sz w:val="20"/>
                <w:szCs w:val="20"/>
              </w:rPr>
              <w:t>Skype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Для эффективной командной работы используем гибкое управление задачами. Для этого процесс работы в рамках стадии проекта делится на короткие 1-2 недельные итерации. Планирование итераций проводится еженедельно в предварительно согласованное время. По результатам каждого совещания Подрядчик отправляет всем участникам проекта протокол совещания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В конце каждого этапа по необходимости проводятся совещания (</w:t>
            </w:r>
            <w:r>
              <w:rPr>
                <w:rFonts w:cs="Arial Unicode MS" w:ascii="Verdana" w:hAnsi="Verdana"/>
                <w:sz w:val="20"/>
                <w:szCs w:val="20"/>
              </w:rPr>
              <w:t>workshop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)</w:t>
            </w:r>
          </w:p>
          <w:p>
            <w:pPr>
              <w:pStyle w:val="Normal"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ПРИНЦИПЫ ВЗАИМОДЕЙСТВИЯ</w:t>
            </w:r>
          </w:p>
          <w:p>
            <w:pPr>
              <w:pStyle w:val="Normal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Этап детальный проект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Стадия Концепция проекта: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Консультация Автора-архитектора на соответствие нормативно-правовым актам РФ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Консультация Автора-архитектора на соответствие планировочным решениям Заказчика и инсоляции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Стадия Проектные решения: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Получение консультаций от Автора-архитектора на соответствие замыслу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Обсуждение с Заказчиком проектных решений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Утверждение с Заказчиком фактических ССК, ТЭП, квартирографии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Утверждение </w:t>
            </w:r>
            <w:r>
              <w:rPr>
                <w:rFonts w:eastAsia="Arial Unicode MS" w:cs="Arial Unicode MS" w:ascii="Verdana" w:hAnsi="Verdana"/>
                <w:color w:val="00000A"/>
                <w:lang w:val="en-US"/>
              </w:rPr>
              <w:t>BIM</w:t>
            </w:r>
            <w:r>
              <w:rPr>
                <w:rFonts w:eastAsia="Arial Unicode MS" w:cs="Arial Unicode MS" w:ascii="Verdana" w:hAnsi="Verdana"/>
                <w:color w:val="00000A"/>
              </w:rPr>
              <w:t xml:space="preserve"> модели с </w:t>
            </w:r>
            <w:r>
              <w:rPr>
                <w:rFonts w:eastAsia="Arial Unicode MS" w:cs="Arial Unicode MS" w:ascii="Verdana" w:hAnsi="Verdana"/>
                <w:color w:val="00000A"/>
                <w:lang w:val="en-US"/>
              </w:rPr>
              <w:t>BIM</w:t>
            </w:r>
            <w:r>
              <w:rPr>
                <w:rFonts w:eastAsia="Arial Unicode MS" w:cs="Arial Unicode MS" w:ascii="Verdana" w:hAnsi="Verdana"/>
                <w:color w:val="00000A"/>
              </w:rPr>
              <w:t>-менеджментом Заказчика</w:t>
            </w:r>
          </w:p>
          <w:p>
            <w:pPr>
              <w:pStyle w:val="22"/>
              <w:ind w:left="720" w:hanging="0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Стадия Экспертиза проекта: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Защита проектных решений в Экспертизе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Arial Unicode MS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Этап рабочая документация</w:t>
            </w:r>
          </w:p>
          <w:p>
            <w:pPr>
              <w:pStyle w:val="22"/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Получение консультаций от Автора-архитектора на соответствие замыслу, фасадам, отделке МОП, концепции благоустройства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>Передача Заказчику альбомов РД на проверку и их утверждение</w:t>
            </w:r>
          </w:p>
          <w:p>
            <w:pPr>
              <w:pStyle w:val="22"/>
              <w:numPr>
                <w:ilvl w:val="0"/>
                <w:numId w:val="9"/>
              </w:numPr>
              <w:rPr>
                <w:rFonts w:ascii="Verdana" w:hAnsi="Verdana" w:eastAsia="Arial Unicode MS" w:cs="Arial Unicode MS"/>
                <w:color w:val="00000A"/>
              </w:rPr>
            </w:pPr>
            <w:r>
              <w:rPr>
                <w:rFonts w:eastAsia="Arial Unicode MS" w:cs="Arial Unicode MS" w:ascii="Verdana" w:hAnsi="Verdana"/>
                <w:color w:val="00000A"/>
              </w:rPr>
              <w:t xml:space="preserve">Утверждение </w:t>
            </w:r>
            <w:r>
              <w:rPr>
                <w:rFonts w:eastAsia="Arial Unicode MS" w:cs="Arial Unicode MS" w:ascii="Verdana" w:hAnsi="Verdana"/>
                <w:color w:val="00000A"/>
                <w:lang w:val="en-US"/>
              </w:rPr>
              <w:t>BIM</w:t>
            </w:r>
            <w:r>
              <w:rPr>
                <w:rFonts w:eastAsia="Arial Unicode MS" w:cs="Arial Unicode MS" w:ascii="Verdana" w:hAnsi="Verdana"/>
                <w:color w:val="00000A"/>
              </w:rPr>
              <w:t xml:space="preserve"> модели с </w:t>
            </w:r>
            <w:r>
              <w:rPr>
                <w:rFonts w:eastAsia="Arial Unicode MS" w:cs="Arial Unicode MS" w:ascii="Verdana" w:hAnsi="Verdana"/>
                <w:color w:val="00000A"/>
                <w:lang w:val="en-US"/>
              </w:rPr>
              <w:t>BIM</w:t>
            </w:r>
            <w:r>
              <w:rPr>
                <w:rFonts w:eastAsia="Arial Unicode MS" w:cs="Arial Unicode MS" w:ascii="Verdana" w:hAnsi="Verdana"/>
                <w:color w:val="00000A"/>
              </w:rPr>
              <w:t>-менеджментом Заказчика</w:t>
            </w:r>
          </w:p>
          <w:p>
            <w:pPr>
              <w:pStyle w:val="Normal"/>
              <w:ind w:left="360" w:hanging="0"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Heading1"/>
              <w:spacing w:lineRule="auto" w:line="276" w:before="24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>ТРЕБОВАНИЯ К ЭЛЕКТРОННЫМ ФАЙЛАМ</w:t>
            </w:r>
          </w:p>
        </w:tc>
      </w:tr>
      <w:tr>
        <w:trPr>
          <w:trHeight w:val="428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Для обмена файлами используются облачные сервисы, например, Google Drive </w:t>
            </w:r>
            <w:hyperlink r:id="rId3"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https://drive.google.com/</w:t>
              </w:r>
            </w:hyperlink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 или </w:t>
            </w:r>
            <w:r>
              <w:rPr>
                <w:rFonts w:cs="Arial Unicode MS" w:ascii="Verdana" w:hAnsi="Verdana"/>
                <w:sz w:val="20"/>
                <w:szCs w:val="20"/>
              </w:rPr>
              <w:t>Wetransfer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 </w:t>
            </w:r>
            <w:hyperlink r:id="rId4"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https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://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www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.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wetransfer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.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</w:rPr>
                <w:t>com</w:t>
              </w:r>
              <w:r>
                <w:rPr>
                  <w:rStyle w:val="InternetLink"/>
                  <w:rFonts w:cs="Arial Unicode MS" w:ascii="Verdana" w:hAnsi="Verdana"/>
                  <w:sz w:val="20"/>
                  <w:szCs w:val="20"/>
                  <w:lang w:val="ru-RU"/>
                </w:rPr>
                <w:t>/</w:t>
              </w:r>
            </w:hyperlink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Для обмена файлами в процессе работы используются только форматы DWG (2013 версии) и PDF.</w:t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DWG и PDF формат сохраняется с логикой 1 лист - 1 файл, помимо этого, чертежи формата PDF дополнительно объединяются в единый альбом по каждому разделу.</w:t>
            </w:r>
          </w:p>
          <w:p>
            <w:pPr>
              <w:pStyle w:val="ListParagraph"/>
              <w:numPr>
                <w:ilvl w:val="0"/>
                <w:numId w:val="4"/>
              </w:numPr>
              <w:pBdr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lang w:val="ru-RU" w:eastAsia="ru-RU"/>
              </w:rPr>
              <w:t>Для организации электронного архива используется система наименования файлов</w:t>
            </w:r>
          </w:p>
          <w:p>
            <w:pPr>
              <w:pStyle w:val="ListParagraph"/>
              <w:pBdr/>
              <w:ind w:left="360" w:hanging="0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000_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A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_ГГММДД_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XXX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.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XXX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_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XXX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_описание.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pdf</w:t>
            </w:r>
          </w:p>
          <w:p>
            <w:pPr>
              <w:pStyle w:val="ListParagraph"/>
              <w:pBdr/>
              <w:ind w:left="360" w:hanging="0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lang w:val="ru-RU" w:eastAsia="ru-RU"/>
              </w:rPr>
              <w:t>Например:</w:t>
            </w:r>
          </w:p>
          <w:p>
            <w:pPr>
              <w:pStyle w:val="ListParagraph"/>
              <w:pBdr/>
              <w:ind w:left="360" w:hanging="0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001_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A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val="ru-RU" w:eastAsia="ru-RU"/>
              </w:rPr>
              <w:t>_160314_ЕБГ05.ПД_АР_план_типового_этажа.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lang w:eastAsia="ru-RU"/>
              </w:rPr>
              <w:t>pdf</w:t>
            </w:r>
          </w:p>
          <w:tbl>
            <w:tblPr>
              <w:tblW w:w="9214" w:type="dxa"/>
              <w:jc w:val="left"/>
              <w:tblInd w:w="274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  <w:insideH w:val="single" w:sz="8" w:space="0" w:color="A3A3A3"/>
                <w:insideV w:val="single" w:sz="8" w:space="0" w:color="A3A3A3"/>
              </w:tblBorders>
              <w:tblCellMar>
                <w:top w:w="80" w:type="dxa"/>
                <w:left w:w="70" w:type="dxa"/>
                <w:bottom w:w="80" w:type="dxa"/>
                <w:right w:w="80" w:type="dxa"/>
              </w:tblCellMar>
              <w:tblLook w:val="04a0" w:noVBand="1" w:noHBand="0" w:lastColumn="0" w:firstColumn="1" w:lastRow="0" w:firstRow="1"/>
            </w:tblPr>
            <w:tblGrid>
              <w:gridCol w:w="1417"/>
              <w:gridCol w:w="2410"/>
              <w:gridCol w:w="5387"/>
            </w:tblGrid>
            <w:tr>
              <w:trPr/>
              <w:tc>
                <w:tcPr>
                  <w:tcW w:w="14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001</w:t>
                  </w:r>
                </w:p>
              </w:tc>
              <w:tc>
                <w:tcPr>
                  <w:tcW w:w="24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Номер чертежа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Порядковый номер чертежа в томе. Новые чертежи добавляются с новым уникальным номером</w:t>
                  </w:r>
                </w:p>
              </w:tc>
            </w:tr>
            <w:tr>
              <w:trPr/>
              <w:tc>
                <w:tcPr>
                  <w:tcW w:w="14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А</w:t>
                  </w:r>
                </w:p>
              </w:tc>
              <w:tc>
                <w:tcPr>
                  <w:tcW w:w="24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Ревизия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Версия документа. Только латинские буквы. В порядке алфавита. Ревизия указывается в случае внесения изменений в документ после выпуска</w:t>
                  </w:r>
                </w:p>
              </w:tc>
            </w:tr>
            <w:tr>
              <w:trPr/>
              <w:tc>
                <w:tcPr>
                  <w:tcW w:w="14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160314</w:t>
                  </w:r>
                </w:p>
              </w:tc>
              <w:tc>
                <w:tcPr>
                  <w:tcW w:w="24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Дата файла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Дата в формате ГГММДД</w:t>
                  </w:r>
                </w:p>
              </w:tc>
            </w:tr>
            <w:tr>
              <w:trPr/>
              <w:tc>
                <w:tcPr>
                  <w:tcW w:w="14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ЕБГ</w:t>
                  </w:r>
                </w:p>
              </w:tc>
              <w:tc>
                <w:tcPr>
                  <w:tcW w:w="24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Проект.очередь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Код проекта</w:t>
                  </w:r>
                </w:p>
              </w:tc>
            </w:tr>
            <w:tr>
              <w:trPr/>
              <w:tc>
                <w:tcPr>
                  <w:tcW w:w="14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ДП/П/РД</w:t>
                  </w:r>
                </w:p>
              </w:tc>
              <w:tc>
                <w:tcPr>
                  <w:tcW w:w="24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Стадия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Стадия проектирования</w:t>
                  </w:r>
                </w:p>
              </w:tc>
            </w:tr>
            <w:tr>
              <w:trPr/>
              <w:tc>
                <w:tcPr>
                  <w:tcW w:w="141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АР</w:t>
                  </w:r>
                </w:p>
              </w:tc>
              <w:tc>
                <w:tcPr>
                  <w:tcW w:w="241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Раздел/блок</w:t>
                  </w:r>
                </w:p>
              </w:tc>
              <w:tc>
                <w:tcPr>
                  <w:tcW w:w="538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  <w:insideH w:val="single" w:sz="8" w:space="0" w:color="A3A3A3"/>
                    <w:insideV w:val="single" w:sz="8" w:space="0" w:color="A3A3A3"/>
                  </w:tcBorders>
                  <w:shd w:fill="auto" w:val="clear"/>
                  <w:tcMar>
                    <w:left w:w="70" w:type="dxa"/>
                  </w:tcMar>
                </w:tcPr>
                <w:p>
                  <w:pPr>
                    <w:pStyle w:val="Normal"/>
                    <w:pBdr/>
                    <w:rPr>
                      <w:rFonts w:ascii="Verdana" w:hAnsi="Verdana" w:eastAsia="Times New Roman"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eastAsia="Times New Roman" w:ascii="Verdana" w:hAnsi="Verdana"/>
                      <w:sz w:val="20"/>
                      <w:szCs w:val="20"/>
                      <w:lang w:val="ru-RU" w:eastAsia="ru-RU"/>
                    </w:rPr>
                    <w:t>Раздел документации (в соответствии с составом)</w:t>
                  </w:r>
                </w:p>
              </w:tc>
            </w:tr>
          </w:tbl>
          <w:p>
            <w:pPr>
              <w:pStyle w:val="Normal"/>
              <w:pBdr/>
              <w:ind w:firstLine="284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lang w:val="ru-RU" w:eastAsia="ru-RU"/>
              </w:rPr>
              <w:t>Документация, собранная в многостраничные альбомы (подшивки) именуется без номера чертежа</w:t>
            </w:r>
          </w:p>
          <w:p>
            <w:pPr>
              <w:pStyle w:val="Normal"/>
              <w:pBdr/>
              <w:ind w:firstLine="284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A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val="ru-RU" w:eastAsia="ru-RU"/>
              </w:rPr>
              <w:t>_ГГММДД_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XXX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val="ru-RU" w:eastAsia="ru-RU"/>
              </w:rPr>
              <w:t>.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XX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val="ru-RU" w:eastAsia="ru-RU"/>
              </w:rPr>
              <w:t>_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XXX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val="ru-RU" w:eastAsia="ru-RU"/>
              </w:rPr>
              <w:t>_описание.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pdf</w:t>
            </w:r>
          </w:p>
          <w:p>
            <w:pPr>
              <w:pStyle w:val="Normal"/>
              <w:pBdr/>
              <w:ind w:firstLine="284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i/>
                <w:iCs/>
                <w:sz w:val="20"/>
                <w:szCs w:val="20"/>
                <w:lang w:val="ru-RU" w:eastAsia="ru-RU"/>
              </w:rPr>
              <w:t>Например,:</w:t>
            </w:r>
          </w:p>
          <w:p>
            <w:pPr>
              <w:pStyle w:val="Normal"/>
              <w:pBdr/>
              <w:ind w:firstLine="284"/>
              <w:rPr>
                <w:rFonts w:ascii="Verdana" w:hAnsi="Verdana" w:eastAsia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A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val="ru-RU" w:eastAsia="ru-RU"/>
              </w:rPr>
              <w:t>_160314_ЕБГ05.ДП_АР_описание.</w:t>
            </w:r>
            <w:r>
              <w:rPr>
                <w:rFonts w:eastAsia="Times New Roman" w:ascii="Verdana" w:hAnsi="Verdana"/>
                <w:sz w:val="20"/>
                <w:szCs w:val="20"/>
                <w:highlight w:val="lightGray"/>
                <w:shd w:fill="D7E3BC" w:val="clear"/>
                <w:lang w:eastAsia="ru-RU"/>
              </w:rPr>
              <w:t>pdf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Перед передачей чертежей в формате DWG, необходимо конвертировать все элементы вспомогательных утилит AutoCAD в общий формат DWG.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Необходимо использовать встроенные утилиты AutoCAD для очистки чертежа. Утилиты -&gt; Очистить (Команда _PURGE). Удаление совпадающих элементов (команда _OVERKILL). Все элементы чертежа должны находится на одном уровне.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При экспорте DWG файлов из других САПР или BIM платформ, необходимо конвертировать все элементы в редактируемые примитивы и блоки DWG. Настройки импорта следует согласовать дополнительно.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При использовании в файле внешних ссылок и несистемных шрифтов, соответствующие документы должны быть интегрированы в отправляемый пакет или архив.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Не допускается хранение в передаваемом файле вспомогательной и/или иной информации, не относящейся к графическому листу.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Объекты в AutoCAD необходимо чертить в масштабе 1:1 с масштабированием символов. Применение других масштабов недопустимо.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Непечатаемые объекты AutoCAD должны находиться в отдельном слое. 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Не допускается «взрывание» штриховок в простейшие примитивы.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Все примитивы чертятся с использованием объектной привязки. Наличие примитивов, которые должны сходиться в одной точке, но не сходятся, недопустимо.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Запрещается использование «взорванных» и не ассоциативных размеров, а также ручная правка их значений. Размерную линию необходимо доводить до объекта, габариты которого обозначаются данным размером. Разрешается использование размеров с перебитыми значениями только на внемасштабных элементах (элементы электропроводки, элементы инженерных сетей и коммуникаций, информационные диаграммы).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Планы этажей выполнять с учетом геодезических координат секций объекта. Не допускается выполнение планов различных секций с одними координатами. Геодезический  0 принять в месте пересечения осей 1, А.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Все файлы, включая семейства и библиотеки </w:t>
            </w:r>
            <w:r>
              <w:rPr>
                <w:rFonts w:cs="Arial Unicode MS" w:ascii="Verdana" w:hAnsi="Verdana"/>
                <w:sz w:val="20"/>
                <w:szCs w:val="20"/>
              </w:rPr>
              <w:t>BIM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 модели, выработанные в процессе разработки проекта передаются Заказчику в полном объеме, как в оригинальном формате, так и в формате </w:t>
            </w:r>
            <w:r>
              <w:rPr>
                <w:rFonts w:cs="Arial Unicode MS" w:ascii="Verdana" w:hAnsi="Verdana"/>
                <w:sz w:val="20"/>
                <w:szCs w:val="20"/>
              </w:rPr>
              <w:t>IFC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4.0.</w:t>
            </w:r>
          </w:p>
          <w:p>
            <w:pPr>
              <w:pStyle w:val="ListParagraph"/>
              <w:ind w:left="360" w:hanging="0"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Heading1"/>
              <w:spacing w:lineRule="auto" w:line="276" w:before="24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color w:val="00000A"/>
                <w:sz w:val="20"/>
                <w:szCs w:val="20"/>
                <w:lang w:val="ru-RU"/>
              </w:rPr>
              <w:t>ТРЕБОВАНИЯ К ОФОРМЛЕНИЮ ДОКУМЕНТАЦИИ</w:t>
            </w:r>
          </w:p>
        </w:tc>
      </w:tr>
      <w:tr>
        <w:trPr>
          <w:trHeight w:val="279" w:hRule="atLeast"/>
        </w:trPr>
        <w:tc>
          <w:tcPr>
            <w:tcW w:w="9812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Документация передается заказчику в печатном виде в количестве 4 экземпляра и в цифровом формате на электронном носителе (</w:t>
            </w:r>
            <w:r>
              <w:rPr>
                <w:rFonts w:cs="Arial Unicode MS" w:ascii="Verdana" w:hAnsi="Verdana"/>
                <w:sz w:val="20"/>
                <w:szCs w:val="20"/>
              </w:rPr>
              <w:t>flash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-накопитель/</w:t>
            </w:r>
            <w:r>
              <w:rPr>
                <w:rFonts w:cs="Arial Unicode MS" w:ascii="Verdana" w:hAnsi="Verdana"/>
                <w:sz w:val="20"/>
                <w:szCs w:val="20"/>
              </w:rPr>
              <w:t>CD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-диск). </w:t>
            </w:r>
          </w:p>
          <w:p>
            <w:pPr>
              <w:pStyle w:val="ListParagraph"/>
              <w:numPr>
                <w:ilvl w:val="0"/>
                <w:numId w:val="8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Оформление альбома Детальный проект выполнить по шаблону Заказчика. Для оформления альбома ДП использовать системные гротесковый шрифт </w:t>
            </w:r>
            <w:r>
              <w:rPr>
                <w:rFonts w:cs="Arial Unicode MS" w:ascii="Verdana" w:hAnsi="Verdana"/>
                <w:sz w:val="20"/>
                <w:szCs w:val="20"/>
              </w:rPr>
              <w:t>Verdana</w:t>
            </w: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8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Для оформления чертежей стадии П и этапа Рабочей документации следует руководствоваться ГОСТ Р 21.1101-2013 «Система проектной документации для строительства (СПДС). Основные требования к проектной и рабочей документации». Допускается использовать отличные от ГОСТ системные шрифты в оформлении чертежей. Допускается использование европейский условных обозначений и выносок</w:t>
            </w:r>
          </w:p>
          <w:p>
            <w:pPr>
              <w:pStyle w:val="ListParagraph"/>
              <w:numPr>
                <w:ilvl w:val="0"/>
                <w:numId w:val="8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Нумерацию секций квартала принять против часовой стрелки. За секцию 1 принять верхнюю левую секцию.</w:t>
            </w:r>
          </w:p>
          <w:p>
            <w:pPr>
              <w:pStyle w:val="ListParagraph"/>
              <w:numPr>
                <w:ilvl w:val="0"/>
                <w:numId w:val="8"/>
              </w:numPr>
              <w:pBdr/>
              <w:rPr>
                <w:rFonts w:ascii="Verdana" w:hAnsi="Verdana" w:cs="Arial Unicode MS"/>
                <w:sz w:val="20"/>
                <w:szCs w:val="20"/>
                <w:lang w:val="ru-RU"/>
              </w:rPr>
            </w:pPr>
            <w:r>
              <w:rPr>
                <w:rFonts w:cs="Arial Unicode MS" w:ascii="Verdana" w:hAnsi="Verdana"/>
                <w:sz w:val="20"/>
                <w:szCs w:val="20"/>
                <w:lang w:val="ru-RU"/>
              </w:rPr>
              <w:t>Разбивку осей выполнять сквозной по всему комплексу, а не посекционно. Не допускается устройство промежуточных осей с нумерацией идентичной основным осям.</w:t>
            </w:r>
          </w:p>
          <w:p>
            <w:pPr>
              <w:pStyle w:val="ListParagraph"/>
              <w:numPr>
                <w:ilvl w:val="0"/>
                <w:numId w:val="8"/>
              </w:numPr>
              <w:pBdr/>
              <w:spacing w:lineRule="auto" w:line="259" w:before="0" w:after="160"/>
              <w:contextualSpacing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Толщины линий: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Вспомогательные линии (не печатаемый слой) </w:t>
              <w:tab/>
              <w:tab/>
              <w:t>0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Штриховка</w:t>
              <w:tab/>
              <w:tab/>
              <w:tab/>
              <w:tab/>
              <w:tab/>
              <w:tab/>
              <w:tab/>
              <w:t>0,09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Тонкая</w:t>
              <w:tab/>
              <w:tab/>
              <w:tab/>
              <w:tab/>
              <w:tab/>
              <w:tab/>
              <w:tab/>
              <w:t>0,15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Таблицы (кроме текста)</w:t>
              <w:tab/>
              <w:tab/>
              <w:tab/>
              <w:tab/>
              <w:tab/>
              <w:t>0,3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Толстая</w:t>
              <w:tab/>
              <w:tab/>
              <w:tab/>
              <w:tab/>
              <w:tab/>
              <w:tab/>
              <w:tab/>
              <w:t>0,3; 0.5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Армирование и т.п. (то, что требуется выделить) </w:t>
              <w:tab/>
              <w:t>0.6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Обозначение земли и т.п.</w:t>
              <w:tab/>
              <w:tab/>
              <w:tab/>
              <w:tab/>
              <w:tab/>
              <w:t>0,8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Здание на Генплане</w:t>
              <w:tab/>
              <w:tab/>
              <w:tab/>
              <w:tab/>
              <w:tab/>
              <w:tab/>
              <w:t>1-1,2</w:t>
            </w:r>
          </w:p>
          <w:p>
            <w:pPr>
              <w:pStyle w:val="ListParagraph"/>
              <w:numPr>
                <w:ilvl w:val="0"/>
                <w:numId w:val="8"/>
              </w:numPr>
              <w:pBdr/>
              <w:spacing w:lineRule="auto" w:line="259" w:before="0" w:after="160"/>
              <w:contextualSpacing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На чертежах над штампом, в зависимости от информационной нагрузки листа следует размещать дополнительную информацию: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Диаграмма расположения относительно сторон света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Диаграмма блок-секций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Диаграмма уровня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Масштабная линейка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Условные обозначения 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 xml:space="preserve">Примечания 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Экспликация, спецификация и прочие табличные данные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Логотип и информация о заказчике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Логотип и информация о исполнителе, в т.ч. контактная информация исполнителей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Наименование электронного документа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ind w:left="720" w:hanging="360"/>
              <w:rPr>
                <w:rFonts w:ascii="Verdana" w:hAnsi="Verdana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Информация о внесении изменений</w:t>
            </w:r>
          </w:p>
        </w:tc>
      </w:tr>
    </w:tbl>
    <w:p>
      <w:pPr>
        <w:pStyle w:val="Normal"/>
        <w:rPr>
          <w:rFonts w:ascii="Verdana" w:hAnsi="Verdana" w:cs="Arial Unicode MS"/>
          <w:sz w:val="18"/>
          <w:szCs w:val="20"/>
          <w:lang w:val="ru-RU" w:eastAsia="ru-RU"/>
        </w:rPr>
      </w:pPr>
      <w:r>
        <w:rPr>
          <w:rFonts w:cs="Arial Unicode MS" w:ascii="Verdana" w:hAnsi="Verdana"/>
          <w:sz w:val="18"/>
          <w:szCs w:val="20"/>
          <w:lang w:val="ru-RU" w:eastAsia="ru-RU"/>
        </w:rPr>
      </w:r>
    </w:p>
    <w:p>
      <w:pPr>
        <w:pStyle w:val="Normal"/>
        <w:rPr>
          <w:rFonts w:ascii="Verdana" w:hAnsi="Verdana" w:cs="Arial Unicode MS"/>
          <w:sz w:val="18"/>
          <w:szCs w:val="20"/>
          <w:lang w:val="ru-RU" w:eastAsia="ru-RU"/>
        </w:rPr>
      </w:pPr>
      <w:r>
        <w:rPr>
          <w:rFonts w:cs="Arial Unicode MS" w:ascii="Verdana" w:hAnsi="Verdana"/>
          <w:sz w:val="18"/>
          <w:szCs w:val="20"/>
          <w:lang w:val="ru-RU" w:eastAsia="ru-RU"/>
        </w:rPr>
      </w:r>
    </w:p>
    <w:p>
      <w:pPr>
        <w:pStyle w:val="Normal"/>
        <w:spacing w:lineRule="auto" w:line="254" w:before="0" w:after="160"/>
        <w:jc w:val="center"/>
        <w:rPr>
          <w:rFonts w:ascii="Verdana" w:hAnsi="Verdana"/>
          <w:b/>
          <w:b/>
          <w:sz w:val="26"/>
          <w:szCs w:val="26"/>
          <w:lang w:val="ru-RU"/>
        </w:rPr>
      </w:pPr>
      <w:r>
        <w:rPr>
          <w:rFonts w:ascii="Verdana" w:hAnsi="Verdana"/>
          <w:b/>
          <w:sz w:val="26"/>
          <w:szCs w:val="26"/>
          <w:lang w:val="ru-RU"/>
        </w:rPr>
        <w:t>ТЕХНИЧЕСКИЕ РЕШЕНИЯ «КОНСТРУКТОР»</w:t>
      </w:r>
    </w:p>
    <w:tbl>
      <w:tblPr>
        <w:tblW w:w="10013" w:type="dxa"/>
        <w:jc w:val="left"/>
        <w:tblInd w:w="4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30" w:type="dxa"/>
          <w:left w:w="37" w:type="dxa"/>
          <w:bottom w:w="30" w:type="dxa"/>
          <w:right w:w="45" w:type="dxa"/>
        </w:tblCellMar>
        <w:tblLook w:val="04a0" w:noVBand="1" w:noHBand="0" w:lastColumn="0" w:firstColumn="1" w:lastRow="0" w:firstRow="1"/>
      </w:tblPr>
      <w:tblGrid>
        <w:gridCol w:w="559"/>
        <w:gridCol w:w="3880"/>
        <w:gridCol w:w="1701"/>
        <w:gridCol w:w="3872"/>
      </w:tblGrid>
      <w:tr>
        <w:trPr>
          <w:trHeight w:val="187" w:hRule="atLeast"/>
        </w:trPr>
        <w:tc>
          <w:tcPr>
            <w:tcW w:w="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 xml:space="preserve">№ </w:t>
            </w: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п/п</w:t>
            </w:r>
          </w:p>
        </w:tc>
        <w:tc>
          <w:tcPr>
            <w:tcW w:w="3880" w:type="dxa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Наименование системы/решения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Шифр «Конструктор»</w:t>
            </w:r>
          </w:p>
        </w:tc>
        <w:tc>
          <w:tcPr>
            <w:tcW w:w="3872" w:type="dxa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Характеристики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Helvetica" w:cs="Helvetica" w:ascii="Verdana" w:hAnsi="Verdana" w:cstheme="majorBidi" w:eastAsiaTheme="majorEastAsia"/>
                <w:b/>
                <w:sz w:val="20"/>
                <w:szCs w:val="20"/>
                <w:lang w:val="ru-RU"/>
              </w:rPr>
              <w:t>АРХИТЕКТУРНЫЙ БЛОК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Архитектурно-планировочные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ДП и комментариев Заказчика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Фасады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ДП и комментариев Заказчика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Отделка МОП и паркинга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 этаж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Типовой этаж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226-01-03-V01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Элементы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226-01-04-V01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3.5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Альбом цветовых решений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226-01-05-V01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3.6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Графический дизайн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отделки МОП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3.7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Навигация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отделки МОП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Чистовая отделка квартир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4.1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Материалы отделки и оборудование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226-04-01-V01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4.2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Визуализации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226-04-02-V01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4.3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Проект отделки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226-04-03-V01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Двери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227-01-00-V01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Окна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ДП и комментариев Заказчика. Окна</w:t>
            </w:r>
            <w:r>
              <w:rPr>
                <w:rFonts w:ascii="Verdana" w:hAnsi="Verdana"/>
                <w:color w:val="C00000"/>
                <w:sz w:val="20"/>
                <w:szCs w:val="20"/>
                <w:lang w:eastAsia="ru-RU"/>
              </w:rPr>
              <w:t xml:space="preserve"> VEKA. </w:t>
            </w: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Профиль</w:t>
            </w:r>
            <w:r>
              <w:rPr>
                <w:rFonts w:ascii="Verdana" w:hAnsi="Verdana"/>
                <w:color w:val="C00000"/>
                <w:sz w:val="20"/>
                <w:szCs w:val="20"/>
                <w:lang w:eastAsia="ru-RU"/>
              </w:rPr>
              <w:t xml:space="preserve"> SOFTLINE 70 AD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Заполнение наружных стен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326-01-02-V01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Внутренние стены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326-03-02-V01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Перегородки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326-07-00-V01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Перемычки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10.1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Монолитная типа "Зуб"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327-01-01-V01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10.2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Брусковая перемычка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327-01-02-V01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10.3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Перемычка из арматуры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327-01-03-V01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Полы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11.1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Жилой дом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328-01-00-V01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11.3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328-02-00-V01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Гидроизоляция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12.1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Фундамент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325-02-00-V01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12.2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Кровля дома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325-03-01-V01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12.3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Кровля паркинга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325-04-00-V01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12.4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Санузел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325-05-00-V01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Лестница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ДП и комментариев Заказчика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Отмостка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проекта Благоустройства и комментариев Заказчика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14.1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Брусчатка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330-01-01-V01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14.2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Галька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330-01-02-V01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sz w:val="20"/>
                <w:szCs w:val="20"/>
                <w:lang w:val="ru-RU" w:eastAsia="ru-RU"/>
              </w:rPr>
              <w:t>Лифты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Spacing"/>
              <w:pBdr/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ascii="Verdana" w:hAnsi="Verdana"/>
                <w:color w:val="C00000"/>
                <w:sz w:val="20"/>
                <w:szCs w:val="20"/>
                <w:lang w:val="ru-RU" w:eastAsia="ru-RU"/>
              </w:rPr>
              <w:t>Без машинного помещения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Helvetica" w:cs="Helvetica" w:ascii="Verdana" w:hAnsi="Verdana" w:cstheme="majorBidi" w:eastAsiaTheme="majorEastAsia"/>
                <w:b/>
                <w:sz w:val="20"/>
                <w:szCs w:val="20"/>
                <w:lang w:val="ru-RU"/>
              </w:rPr>
              <w:t>КОНСТРУКТИВНЫЙ БЛОК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Конструктивные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В соответствии с решениями ДП</w:t>
            </w:r>
          </w:p>
        </w:tc>
      </w:tr>
      <w:tr>
        <w:trPr>
          <w:trHeight w:val="187" w:hRule="exac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/>
                <w:bCs/>
                <w:sz w:val="20"/>
                <w:szCs w:val="20"/>
                <w:lang w:val="ru-RU" w:eastAsia="ru-RU"/>
              </w:rPr>
              <w:t>ИНЖЕНЕРНЫЙ БЛОК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ОТОПЛЕНИЕ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Жилая часть здания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МОП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Ритейл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420-01-03-V01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Технический этаж и 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420-01-04-V01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Поэтажный шкаф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Регулирующая арматура отопительных приборов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Термостатический элемент - Purmo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Переходная угловая запорная арматура - Danfoss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Трубопроводы и отопительные приборы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от коллектора до отопительного прибора - сшитый полиэтилен Uponor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от ИТП до коллектора - ГОСТ 10704-91, ГОСТ 3262-75 в зависимости от d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Радиаторы - Prado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Компенсаторы - П-образные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Гильзы - ГОСТ 10704-91, ГОСТ 3262-75 в зависимости от d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420-05-00-V01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Балансировочники - Danfoss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Запорная арматура - Broen, Bugatti в зависимости от d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Теплосчетчики</w:t>
            </w: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eastAsia="ru-RU"/>
              </w:rPr>
              <w:t xml:space="preserve"> - Zenner Minocal ISF dy15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Автоматические воздухоотводчики - ITAP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Тепловая изоляция - каучуковая Thermaflex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Антикоррозийная защита - краска КО-828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ИТП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421-01-00-V01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ГВС от тепловых сетей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421-02-02-V01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Оборудование и 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421-03-00-V01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Теплосчетчики - ВЗЛЕТ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Теплообменники - Ридан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Насосы - Grundfos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- ГОСТ 10704-91, ГОСТ 3262-75 в зависимости от d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Предохранительный клапан - Flamco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Регулирующая арматура - Danfoss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Запорная арматура - Broen, Bugatti в зависимости от d</w:t>
            </w:r>
          </w:p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Фильтр - Danfoss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Тепловая изоляция - Rockwool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Антикоррозийная защита - краска КО-828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Расширительные баки - Reflex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ВЕНТИЛЯЦИЯ ОБЩЕОБМЕННАЯ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Жилая часть здания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МОП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Ритейл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422-01-03-V01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Технический этаж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422-01-04-V01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1.5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422-01-05-V01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Вентиляционные каналы и воздуховоды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Жилая часть здания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422-02-01-V01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МОП, ритейл, технический этаж и 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422-02-02-V01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Приточные устройства жилой части здания и МОП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Подоконный клапан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422-03-01-V01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Оборудование и 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422-04-00-V01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Приточный клапан - СВК В-75М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Дефлектор - не ротационный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Противопожарные клапаны - VKT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Вентиляционное оборудование паркинга - VKT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Решетки квартирные - Лиссант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Решетки паркинга - Арктика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Решетки наружные (воздухозаборные) - Арктика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Канальные бытовые вентиляторы - VENTS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ВЕНТИЛЯЦИЯ ПРОТИВОДЫМНАЯ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423-01-01-V01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Принципиальные схемы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Жилая часть здания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423-02-01-V01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423-02-02-V01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Вентиляционное оборудование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423-03-00-V01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Вентиляционные каналы и воздуховоды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423-04-00-V01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423-05-00-V01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Противопожарные клапаны - VKT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Огнезащитное покрытие воздуховодов - Kleber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Решетки - Арктика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Приточное и вытяжное оборудование - VKT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Тепловая изоляция - Rockwool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Тепловая изоляция воздуховод - Rockwool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ВОДОСНАБЖЕНИЕ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Жилая часть здания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520-01-01-V01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Ритейл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520-01-02-V01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Учет расхода воды, повысительная установка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520-02-00-V01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Схема водомерного узла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520-03-00-V01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Стояковая группа ВК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520-04-00-V01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Трубопроводы, арматура, 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520-05-00-V01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Счетчик общедомовой - ПРЭМ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Счетчик индивидуальный - Minol Minomess dy15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ввода в здание, обвязка насосной установки - ГОСТ 10704-91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ХВС - полипропиленовые Vesbo PN-20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ГВС - полипропиленовые Vesbo PN-25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Регулирующая арматура - Danfoss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Трубопроводная арматура - Broen, Bugatti в зависимости от d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Компенсаторы - П-образные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Тепловая изоляция - каучуковая Thermaflex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Антикоррозийная защита - краска БТ-177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Полотенцесушители - отводы от стояка ГВС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Повысительная насосная установка - Grundfos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sz w:val="20"/>
                <w:szCs w:val="20"/>
                <w:lang w:val="ru-RU" w:eastAsia="ru-RU"/>
              </w:rPr>
              <w:t>Система водоочистки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ВОДООТВЕДЕНИЕ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Перечень систем канализации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521-01-00-V01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Принципиальные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521-02-00-V01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sz w:val="20"/>
                <w:szCs w:val="20"/>
                <w:lang w:val="ru-RU" w:eastAsia="ru-RU"/>
              </w:rPr>
              <w:t>Трап внутриквартирный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  <w:t>521-03-00-V01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Трубопроводы и 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521-04-00-V01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Трубопроводы ХБ канализации - полипропиленовый Sinicin 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ливневой канализации с кровли жилых зданий - Geberit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ливневой канализации с кровли паркинга - ГОСТ 10704-91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дренажной канализации системы кондиционирования - полипропиленовые Vesbo PN-20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дренажной канализации аварийных стоков пом. тех. этажа - ГОСТ 10704-91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Трубопроводы дренажной канализации для отводов стоков от системы АПТ - ГОСТ 10704-91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Противопожарные муфты - Огракс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Водосточные воронки - HL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Тепловая изоляция - каучуковая Thermaflex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Антикорозийная защита - краска МА-25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  <w:t>Трапы внутриквартирные - HL 90 Pr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Сололифт - Grundfos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ПОЖАРОТУШЕНИЕ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Перечень систем пожаротушения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522-01-00-V01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522-02-00-V01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Алгоритм выбора системы пожаротушения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522-03-00-V01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Трубопроводы и 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522-04-00-V01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Спринклеры и дренчерные оросители - Спецавтоматика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Трубопроводная арматура - Broen, Bugatti в зависимости от d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Шкаф пожарный - НПО Пульс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Антикоррозийная защита - краска МА-25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Внутренний противопожарный водопровод и система АПТ - - ГОСТ 10704-91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Установка пожаротушения - Grundfos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ЭЛЕКТРОСНАБЖЕНИЕ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Жилая часть здания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620-01-01-V01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Общедомовые нужды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620-01-02-V01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Ритейл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620-01-03-V01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1.4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Паркинг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620-01-04-V01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Кабельные линии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От ВРУ до щита этажного - с алюминиевыми жилами. </w:t>
              <w:br/>
              <w:t>От щита этажного до потребителя - с медными жилами.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Разводка по квартире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620-02-01-V01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От щита этажного до щита квартирного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620-02-02-V01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От ВРУ до щита этажного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620-02-03-V01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От ТП до ВРУ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620-01-04-V01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2.5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Питание крышных вентиляторов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620-02-05-V01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Щиты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ВРУ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620-04-00-V01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vMerge w:val="restart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38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Счетчик индивидуальный - Энергомера СЕ102М-R5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Щит квартирный - IEK на 12 модулей</w:t>
            </w:r>
          </w:p>
        </w:tc>
      </w:tr>
      <w:tr>
        <w:trPr>
          <w:trHeight w:val="187" w:hRule="atLeast"/>
        </w:trPr>
        <w:tc>
          <w:tcPr>
            <w:tcW w:w="559" w:type="dxa"/>
            <w:vMerge w:val="continue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Автоматы, рубильники - IEK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Освещение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6.1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Принципиальные решения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621-01-00-V01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6.2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  <w:t>б/н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Светильники смотри: </w:t>
            </w:r>
          </w:p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- первый этаж - 226-01-01-V01</w:t>
              <w:br/>
              <w:t>- типовой этаж - 226-01-02-V01</w:t>
              <w:br/>
              <w:t>- паркинг - 226-01-03-V01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Молниезащита и заземление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  <w:t>622-00-00-V01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Внутриплощадочные сети электроснабжение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trike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trike/>
                <w:color w:val="C00000"/>
                <w:sz w:val="20"/>
                <w:szCs w:val="20"/>
                <w:lang w:val="ru-RU" w:eastAsia="ru-RU"/>
              </w:rPr>
              <w:t>623-00-00-V01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СЛАБОТОЧНЫЕ СЕТИ. ОБЩИЕ СВЕДЕНИЯ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Перечень систем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720-01-00-V01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720-02-00-V01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Помещение слаботочных сетей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720-03-00-V01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ПРОТИВОПОЖАРНЫХ СИСТЕМ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Пожарная сигнализация, система оповещения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Электромагнитный замок удержания двери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721-01-00-V01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Электромагнитный замок - Smartec ST-DH605U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Система - Bolid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пожаротушения</w:t>
            </w:r>
          </w:p>
        </w:tc>
      </w:tr>
      <w:tr>
        <w:trPr>
          <w:trHeight w:val="187" w:hRule="exac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противодымной вентиляции</w:t>
            </w:r>
          </w:p>
        </w:tc>
      </w:tr>
      <w:tr>
        <w:trPr>
          <w:trHeight w:val="187" w:hRule="exac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инженерных систем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общеобменной вентиляции</w:t>
            </w:r>
          </w:p>
        </w:tc>
      </w:tr>
      <w:tr>
        <w:trPr>
          <w:trHeight w:val="187" w:hRule="exac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ИТП</w:t>
            </w:r>
          </w:p>
        </w:tc>
      </w:tr>
      <w:tr>
        <w:trPr>
          <w:trHeight w:val="187" w:hRule="exac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Автоматизация водоснабжение</w:t>
            </w:r>
          </w:p>
        </w:tc>
      </w:tr>
      <w:tr>
        <w:trPr>
          <w:trHeight w:val="187" w:hRule="exac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СЕТИ СВЯЗИ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Домофония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727-01-00-V01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Производитель - ELTIS. Вызывная панель - P5000.B2-KRDC42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Интернет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728-01-00-V01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Щит квартирный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Кабель телевидения: </w:t>
            </w:r>
          </w:p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bookmarkStart w:id="0" w:name="_GoBack"/>
            <w:bookmarkEnd w:id="0"/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- от помещения СС до щита этажного - коаксиальный кабель RG11</w:t>
              <w:br/>
              <w:t>- от щита этажного до квартиры - коаксиальный кабель RG6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Видеонаблюдение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729-01-00-V01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Требования к оборудованию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729-02-00-V01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Расстановка видеокамер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3.1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Квартал 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729-03-01-V01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ГП23 - применить 6 купольных и 11 цилиндрических видеокамер 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3.2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Квартал M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729-03-02-V01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ГП22 - применить 8 купольных и 13 цилиндрических видеокамер 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3.3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25T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729-03-05-V01</w:t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 xml:space="preserve">ГП24 - применить 1 купольную и 5 цилиндрических видеокамер 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Сетевые элементы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Производитель - Novicam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ДИСПЕТЧЕРИЗАЦИЯ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Телеметрия собственников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Прокладку кабелей телеметрии (для счетчика ХВС и ГВС) от слаботочного щита этажного до</w:t>
              <w:br/>
              <w:t>квартиры предусмотреть в трубе ПНД d20 в стяжке пола. Выход трубы ПНД предусмотреть в</w:t>
              <w:br/>
              <w:t>совмещенном санузле в районе стояков ХВС и ГВС. Подключение счетчиков ХВС и ГВС через</w:t>
              <w:br/>
              <w:t>квартирный счетчик тепла, установленный в шахте межквартирного коридора.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Телеметрия общедомовая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НПП Энергия</w:t>
            </w:r>
          </w:p>
        </w:tc>
      </w:tr>
      <w:tr>
        <w:trPr>
          <w:trHeight w:val="187" w:hRule="atLeast"/>
        </w:trPr>
        <w:tc>
          <w:tcPr>
            <w:tcW w:w="10012" w:type="dxa"/>
            <w:gridSpan w:val="4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bC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bCs/>
                <w:sz w:val="20"/>
                <w:szCs w:val="20"/>
                <w:lang w:val="ru-RU" w:eastAsia="ru-RU"/>
              </w:rPr>
              <w:t>Диспетчеризация лифтов</w:t>
            </w:r>
          </w:p>
        </w:tc>
      </w:tr>
      <w:tr>
        <w:trPr>
          <w:trHeight w:val="187" w:hRule="atLeast"/>
        </w:trPr>
        <w:tc>
          <w:tcPr>
            <w:tcW w:w="559" w:type="dxa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3880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000000"/>
                <w:sz w:val="20"/>
                <w:szCs w:val="20"/>
                <w:lang w:val="ru-RU" w:eastAsia="ru-RU"/>
              </w:rPr>
              <w:t>Принципиальная схема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</w:r>
          </w:p>
        </w:tc>
        <w:tc>
          <w:tcPr>
            <w:tcW w:w="3872" w:type="dxa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auto" w:val="clear"/>
            <w:tcMar>
              <w:left w:w="37" w:type="dxa"/>
            </w:tcMar>
            <w:vAlign w:val="center"/>
          </w:tcPr>
          <w:p>
            <w:pPr>
              <w:pStyle w:val="Normal"/>
              <w:pBdr/>
              <w:rPr>
                <w:rFonts w:ascii="Verdana" w:hAnsi="Verdana" w:eastAsia="Times New Roman" w:cs="Arial"/>
                <w:color w:val="C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Arial" w:ascii="Verdana" w:hAnsi="Verdana"/>
                <w:color w:val="C00000"/>
                <w:sz w:val="20"/>
                <w:szCs w:val="20"/>
                <w:lang w:val="ru-RU" w:eastAsia="ru-RU"/>
              </w:rPr>
              <w:t>ОБЬ</w:t>
            </w:r>
          </w:p>
        </w:tc>
      </w:tr>
    </w:tbl>
    <w:p>
      <w:pPr>
        <w:pStyle w:val="Normal"/>
        <w:rPr>
          <w:rFonts w:ascii="Verdana" w:hAnsi="Verdana" w:cs="Arial Unicode MS"/>
          <w:sz w:val="18"/>
          <w:szCs w:val="20"/>
          <w:lang w:val="ru-RU" w:eastAsia="ru-RU"/>
        </w:rPr>
      </w:pPr>
      <w:r>
        <w:rPr>
          <w:rFonts w:cs="Arial Unicode MS" w:ascii="Verdana" w:hAnsi="Verdana"/>
          <w:sz w:val="18"/>
          <w:szCs w:val="20"/>
          <w:lang w:val="ru-RU" w:eastAsia="ru-RU"/>
        </w:rPr>
      </w:r>
    </w:p>
    <w:p>
      <w:pPr>
        <w:pStyle w:val="Normal"/>
        <w:rPr>
          <w:rFonts w:ascii="Verdana" w:hAnsi="Verdana" w:cs="Arial Unicode MS"/>
          <w:sz w:val="18"/>
          <w:szCs w:val="20"/>
          <w:lang w:val="ru-RU" w:eastAsia="ru-RU"/>
        </w:rPr>
      </w:pPr>
      <w:r>
        <w:rPr>
          <w:rFonts w:cs="Arial Unicode MS" w:ascii="Verdana" w:hAnsi="Verdana"/>
          <w:sz w:val="18"/>
          <w:szCs w:val="20"/>
          <w:lang w:val="ru-RU" w:eastAsia="ru-RU"/>
        </w:rPr>
      </w:r>
    </w:p>
    <w:p>
      <w:pPr>
        <w:pStyle w:val="Normal"/>
        <w:rPr>
          <w:rFonts w:ascii="Verdana" w:hAnsi="Verdana" w:cs="Arial Unicode MS"/>
          <w:sz w:val="18"/>
          <w:szCs w:val="20"/>
          <w:lang w:val="ru-RU" w:eastAsia="ru-RU"/>
        </w:rPr>
      </w:pPr>
      <w:r>
        <w:rPr>
          <w:rFonts w:cs="Arial Unicode MS" w:ascii="Verdana" w:hAnsi="Verdana"/>
          <w:sz w:val="18"/>
          <w:szCs w:val="20"/>
          <w:lang w:val="ru-RU" w:eastAsia="ru-RU"/>
        </w:rPr>
      </w:r>
    </w:p>
    <w:tbl>
      <w:tblPr>
        <w:tblW w:w="9780" w:type="dxa"/>
        <w:jc w:val="left"/>
        <w:tblInd w:w="-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819"/>
        <w:gridCol w:w="141"/>
        <w:gridCol w:w="4819"/>
      </w:tblGrid>
      <w:tr>
        <w:trPr/>
        <w:tc>
          <w:tcPr>
            <w:tcW w:w="4819" w:type="dxa"/>
            <w:tcBorders/>
            <w:shd w:color="auto" w:fill="auto" w:val="clear"/>
          </w:tcPr>
          <w:p>
            <w:pPr>
              <w:pStyle w:val="TextBody"/>
              <w:jc w:val="center"/>
              <w:rPr>
                <w:rFonts w:ascii="Verdana" w:hAnsi="Verdana"/>
                <w:b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Заказчик</w:t>
            </w:r>
          </w:p>
        </w:tc>
        <w:tc>
          <w:tcPr>
            <w:tcW w:w="4960" w:type="dxa"/>
            <w:gridSpan w:val="2"/>
            <w:tcBorders/>
            <w:shd w:fill="auto" w:val="clear"/>
          </w:tcPr>
          <w:p>
            <w:pPr>
              <w:pStyle w:val="TextBody"/>
              <w:jc w:val="center"/>
              <w:rPr>
                <w:rFonts w:ascii="Verdana" w:hAnsi="Verdana"/>
                <w:b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Проектировщик</w:t>
            </w:r>
          </w:p>
        </w:tc>
      </w:tr>
      <w:tr>
        <w:trPr/>
        <w:tc>
          <w:tcPr>
            <w:tcW w:w="4819" w:type="dxa"/>
            <w:tcBorders/>
            <w:shd w:color="auto" w:fill="auto" w:val="clear"/>
          </w:tcPr>
          <w:p>
            <w:pPr>
              <w:pStyle w:val="TextBody"/>
              <w:jc w:val="center"/>
              <w:rPr>
                <w:rFonts w:ascii="Verdana" w:hAnsi="Verdana"/>
                <w:b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ООО «БРУСНИКА. »</w:t>
            </w:r>
          </w:p>
        </w:tc>
        <w:tc>
          <w:tcPr>
            <w:tcW w:w="496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</w:rPr>
              <w:t>{ЗаказчикНаименование}</w:t>
            </w:r>
          </w:p>
          <w:p>
            <w:pPr>
              <w:pStyle w:val="TextBody"/>
              <w:jc w:val="center"/>
              <w:rPr>
                <w:rFonts w:ascii="Verdana" w:hAnsi="Verdana"/>
                <w:b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</w:r>
          </w:p>
        </w:tc>
      </w:tr>
      <w:tr>
        <w:trPr/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Директор</w:t>
            </w:r>
          </w:p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lang w:val="ru-RU"/>
              </w:rPr>
              <w:t xml:space="preserve">___________________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Заказчик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}</w:t>
            </w:r>
          </w:p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МП</w:t>
            </w:r>
          </w:p>
        </w:tc>
        <w:tc>
          <w:tcPr>
            <w:tcW w:w="496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Директор</w:t>
            </w:r>
          </w:p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</w:r>
          </w:p>
          <w:p>
            <w:pPr>
              <w:pStyle w:val="Normal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lang w:val="ru-RU"/>
              </w:rPr>
              <w:t xml:space="preserve">___________________ 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{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Проектировщик</w:t>
            </w:r>
            <w:r>
              <w:rPr>
                <w:rFonts w:ascii="Verdana" w:hAnsi="Verdana"/>
                <w:color w:val="FF0000"/>
                <w:sz w:val="20"/>
                <w:szCs w:val="20"/>
                <w:lang w:val="ru-RU"/>
              </w:rPr>
              <w:t>}</w:t>
            </w:r>
          </w:p>
          <w:p>
            <w:pPr>
              <w:pStyle w:val="TextBody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МП</w:t>
            </w:r>
          </w:p>
        </w:tc>
      </w:tr>
      <w:tr>
        <w:trPr/>
        <w:tc>
          <w:tcPr>
            <w:tcW w:w="4960" w:type="dxa"/>
            <w:gridSpan w:val="2"/>
            <w:tcBorders/>
            <w:shd w:fill="auto" w:val="clear"/>
          </w:tcPr>
          <w:p>
            <w:pPr>
              <w:pStyle w:val="TextBody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1134" w:right="849" w:header="0" w:top="1134" w:footer="593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3830745"/>
    </w:sdtPr>
    <w:sdtContent>
      <w:p>
        <w:pPr>
          <w:pStyle w:val="Footer"/>
          <w:jc w:val="right"/>
          <w:rPr/>
        </w:pPr>
        <w:r>
          <w:rPr>
            <w:rFonts w:ascii="Verdana" w:hAnsi="Verdana"/>
            <w:sz w:val="20"/>
            <w:szCs w:val="20"/>
            <w:lang w:val="ru-RU"/>
          </w:rPr>
          <w:t xml:space="preserve">Страница </w:t>
        </w:r>
        <w:r>
          <w:rPr>
            <w:rFonts w:ascii="Verdana" w:hAnsi="Verdana"/>
            <w:bCs/>
            <w:sz w:val="20"/>
            <w:szCs w:val="20"/>
            <w:lang w:val="ru-RU"/>
          </w:rPr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  <w:r>
          <w:rPr>
            <w:rFonts w:ascii="Verdana" w:hAnsi="Verdana"/>
            <w:sz w:val="20"/>
            <w:szCs w:val="20"/>
            <w:lang w:val="ru-RU"/>
          </w:rPr>
          <w:t xml:space="preserve"> из </w:t>
        </w:r>
        <w:r>
          <w:rPr>
            <w:rFonts w:ascii="Verdana" w:hAnsi="Verdana"/>
            <w:bCs/>
            <w:sz w:val="20"/>
            <w:szCs w:val="20"/>
            <w:lang w:val="ru-RU"/>
          </w:rPr>
          <w:fldChar w:fldCharType="begin"/>
        </w:r>
        <w:r>
          <w:instrText> NUMPAGES </w:instrText>
        </w:r>
        <w:r>
          <w:fldChar w:fldCharType="separate"/>
        </w:r>
        <w:r>
          <w:t>14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rFonts w:ascii="Verdana" w:hAnsi="Verdan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055e0e"/>
    <w:pPr>
      <w:keepNext/>
      <w:keepLines/>
      <w:spacing w:before="240" w:after="0"/>
      <w:outlineLvl w:val="0"/>
    </w:pPr>
    <w:rPr>
      <w:rFonts w:ascii="Helvetica" w:hAnsi="Helvetica" w:eastAsia="Helvetica" w:cs="Helvetica" w:asciiTheme="majorHAnsi" w:cstheme="majorBidi" w:eastAsiaTheme="majorEastAsia" w:hAnsiTheme="majorHAnsi"/>
      <w:color w:val="2F759E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55e0e"/>
    <w:pPr>
      <w:keepNext/>
      <w:keepLines/>
      <w:spacing w:before="40" w:after="0"/>
      <w:outlineLvl w:val="1"/>
    </w:pPr>
    <w:rPr>
      <w:rFonts w:ascii="Helvetica" w:hAnsi="Helvetica" w:eastAsia="Helvetica" w:cs="Helvetica" w:asciiTheme="majorHAnsi" w:cstheme="majorBidi" w:eastAsiaTheme="majorEastAsia" w:hAnsiTheme="majorHAnsi"/>
      <w:color w:val="2F759E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u w:val="single"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5a0d76"/>
    <w:rPr>
      <w:rFonts w:ascii="Segoe UI" w:hAnsi="Segoe UI" w:cs="Segoe UI"/>
      <w:sz w:val="18"/>
      <w:szCs w:val="18"/>
      <w:lang w:val="en-US" w:eastAsia="en-US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0b603e"/>
    <w:rPr>
      <w:sz w:val="24"/>
      <w:szCs w:val="24"/>
      <w:lang w:val="en-US" w:eastAsia="en-US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0b603e"/>
    <w:rPr>
      <w:sz w:val="24"/>
      <w:szCs w:val="24"/>
      <w:lang w:val="en-US" w:eastAsia="en-US"/>
    </w:rPr>
  </w:style>
  <w:style w:type="character" w:styleId="Style15" w:customStyle="1">
    <w:name w:val="Основной текст Знак"/>
    <w:basedOn w:val="DefaultParagraphFont"/>
    <w:link w:val="af"/>
    <w:qFormat/>
    <w:rsid w:val="00bd6564"/>
    <w:rPr>
      <w:rFonts w:eastAsia="Times New Roman"/>
      <w:lang w:eastAsia="ar-SA"/>
    </w:rPr>
  </w:style>
  <w:style w:type="character" w:styleId="Style16" w:customStyle="1">
    <w:name w:val="Название Знак"/>
    <w:basedOn w:val="DefaultParagraphFont"/>
    <w:link w:val="af2"/>
    <w:uiPriority w:val="10"/>
    <w:qFormat/>
    <w:rsid w:val="00055e0e"/>
    <w:rPr>
      <w:rFonts w:ascii="Helvetica" w:hAnsi="Helvetica" w:eastAsia="Helvetica" w:cs="Helvetica" w:asciiTheme="majorHAnsi" w:cstheme="majorBidi" w:eastAsiaTheme="majorEastAsia" w:hAnsiTheme="majorHAnsi"/>
      <w:spacing w:val="-10"/>
      <w:sz w:val="56"/>
      <w:szCs w:val="56"/>
      <w:lang w:val="en-US" w:eastAsia="en-US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55e0e"/>
    <w:rPr>
      <w:rFonts w:ascii="Helvetica" w:hAnsi="Helvetica" w:eastAsia="Helvetica" w:cs="Helvetica" w:asciiTheme="majorHAnsi" w:cstheme="majorBidi" w:eastAsiaTheme="majorEastAsia" w:hAnsiTheme="majorHAnsi"/>
      <w:color w:val="2F759E" w:themeColor="accent1" w:themeShade="bf"/>
      <w:sz w:val="32"/>
      <w:szCs w:val="32"/>
      <w:lang w:val="en-US" w:eastAsia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55e0e"/>
    <w:rPr>
      <w:rFonts w:ascii="Helvetica" w:hAnsi="Helvetica" w:eastAsia="Helvetica" w:cs="Helvetica" w:asciiTheme="majorHAnsi" w:cstheme="majorBidi" w:eastAsiaTheme="majorEastAsia" w:hAnsiTheme="majorHAnsi"/>
      <w:color w:val="2F759E" w:themeColor="accent1" w:themeShade="bf"/>
      <w:sz w:val="26"/>
      <w:szCs w:val="26"/>
      <w:lang w:val="en-US" w:eastAsia="en-US"/>
    </w:rPr>
  </w:style>
  <w:style w:type="character" w:styleId="W" w:customStyle="1">
    <w:name w:val="w"/>
    <w:basedOn w:val="DefaultParagraphFont"/>
    <w:qFormat/>
    <w:rsid w:val="003914ac"/>
    <w:rPr/>
  </w:style>
  <w:style w:type="character" w:styleId="Appleconvertedspace" w:customStyle="1">
    <w:name w:val="apple-converted-space"/>
    <w:basedOn w:val="DefaultParagraphFont"/>
    <w:qFormat/>
    <w:rsid w:val="003914ac"/>
    <w:rPr/>
  </w:style>
  <w:style w:type="character" w:styleId="21" w:customStyle="1">
    <w:name w:val="Основной текст 2 Знак"/>
    <w:basedOn w:val="DefaultParagraphFont"/>
    <w:link w:val="22"/>
    <w:uiPriority w:val="99"/>
    <w:semiHidden/>
    <w:qFormat/>
    <w:rsid w:val="00465aee"/>
    <w:rPr>
      <w:sz w:val="24"/>
      <w:szCs w:val="24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Verdana" w:hAnsi="Verdana"/>
      <w:sz w:val="20"/>
      <w:szCs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Verdana" w:hAnsi="Verdan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0"/>
    <w:rsid w:val="00bd6564"/>
    <w:pPr>
      <w:pBdr/>
      <w:suppressAutoHyphens w:val="true"/>
      <w:jc w:val="right"/>
    </w:pPr>
    <w:rPr>
      <w:rFonts w:eastAsia="Times New Roman"/>
      <w:sz w:val="20"/>
      <w:szCs w:val="20"/>
      <w:lang w:val="ru-RU" w:eastAsia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7" w:customStyle="1">
    <w:name w:val="Текстовый блок"/>
    <w:qFormat/>
    <w:pPr>
      <w:widowControl/>
      <w:bidi w:val="0"/>
      <w:jc w:val="left"/>
    </w:pPr>
    <w:rPr>
      <w:rFonts w:ascii="Arial Unicode MS" w:hAnsi="Arial Unicode MS" w:cs="Arial Unicode MS" w:eastAsia="Arial Unicode MS"/>
      <w:color w:val="000000"/>
      <w:sz w:val="22"/>
      <w:szCs w:val="22"/>
      <w:lang w:val="ru-RU" w:eastAsia="ru-RU" w:bidi="ar-SA"/>
    </w:rPr>
  </w:style>
  <w:style w:type="paragraph" w:styleId="22" w:customStyle="1">
    <w:name w:val="Стиль таблицы 2"/>
    <w:qFormat/>
    <w:pPr>
      <w:widowControl/>
      <w:bidi w:val="0"/>
      <w:jc w:val="left"/>
    </w:pPr>
    <w:rPr>
      <w:rFonts w:ascii="Helvetica" w:hAnsi="Helvetica" w:eastAsia="Helvetica" w:cs="Helvetica"/>
      <w:color w:val="00000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22636e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9f0673"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5a0d76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a"/>
    <w:uiPriority w:val="99"/>
    <w:unhideWhenUsed/>
    <w:rsid w:val="000b603e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0b603e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1413bf"/>
    <w:pPr>
      <w:widowControl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cb45c2"/>
    <w:pPr>
      <w:pBdr/>
      <w:spacing w:beforeAutospacing="1" w:afterAutospacing="1"/>
    </w:pPr>
    <w:rPr>
      <w:rFonts w:eastAsia="Times New Roman"/>
      <w:lang w:val="ru-RU" w:eastAsia="ru-RU"/>
    </w:rPr>
  </w:style>
  <w:style w:type="paragraph" w:styleId="11" w:customStyle="1">
    <w:name w:val="Заголовок 11"/>
    <w:basedOn w:val="Normal"/>
    <w:uiPriority w:val="1"/>
    <w:qFormat/>
    <w:rsid w:val="00bd6564"/>
    <w:pPr>
      <w:widowControl w:val="false"/>
      <w:pBdr/>
      <w:ind w:left="374" w:hanging="257"/>
      <w:outlineLvl w:val="1"/>
    </w:pPr>
    <w:rPr>
      <w:rFonts w:ascii="Arial" w:hAnsi="Arial" w:eastAsia="Arial" w:cs="Helvetica" w:cstheme="minorBidi"/>
      <w:b/>
      <w:bCs/>
      <w:sz w:val="13"/>
      <w:szCs w:val="13"/>
    </w:rPr>
  </w:style>
  <w:style w:type="paragraph" w:styleId="Title">
    <w:name w:val="Title"/>
    <w:basedOn w:val="Normal"/>
    <w:link w:val="af3"/>
    <w:uiPriority w:val="10"/>
    <w:qFormat/>
    <w:rsid w:val="00055e0e"/>
    <w:pPr>
      <w:spacing w:before="0" w:after="0"/>
      <w:contextualSpacing/>
    </w:pPr>
    <w:rPr>
      <w:rFonts w:ascii="Helvetica" w:hAnsi="Helvetica" w:eastAsia="Helvetica" w:cs="Helvetica" w:asciiTheme="majorHAnsi" w:cstheme="majorBidi" w:eastAsiaTheme="majorEastAsia" w:hAnsiTheme="majorHAnsi"/>
      <w:spacing w:val="-10"/>
      <w:sz w:val="56"/>
      <w:szCs w:val="56"/>
    </w:rPr>
  </w:style>
  <w:style w:type="paragraph" w:styleId="BodyText2">
    <w:name w:val="Body Text 2"/>
    <w:basedOn w:val="Normal"/>
    <w:link w:val="23"/>
    <w:uiPriority w:val="99"/>
    <w:semiHidden/>
    <w:unhideWhenUsed/>
    <w:qFormat/>
    <w:rsid w:val="00465aee"/>
    <w:pPr>
      <w:spacing w:lineRule="auto" w:line="480" w:before="0" w:after="1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bb7ab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sktop.telegram.org/" TargetMode="External"/><Relationship Id="rId3" Type="http://schemas.openxmlformats.org/officeDocument/2006/relationships/hyperlink" Target="https://drive.google.com/" TargetMode="External"/><Relationship Id="rId4" Type="http://schemas.openxmlformats.org/officeDocument/2006/relationships/hyperlink" Target="https://www.wetransfer.com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50FE-D4B9-4152-93BA-013CDFAC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Application>LibreOffice/5.3.1.2$Linux_X86_64 LibreOffice_project/30m0$Build-2</Application>
  <Pages>14</Pages>
  <Words>2738</Words>
  <Characters>19118</Characters>
  <CharactersWithSpaces>21127</CharactersWithSpaces>
  <Paragraphs>712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2016-03-14T12:31:00Z</dcterms:created>
  <dc:creator>Александр Семенюк</dc:creator>
  <dc:description/>
  <dc:language>en-US</dc:language>
  <cp:lastModifiedBy/>
  <cp:lastPrinted>2015-11-17T06:17:00Z</cp:lastPrinted>
  <dcterms:modified xsi:type="dcterms:W3CDTF">2017-05-11T17:37:35Z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