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9B762" w14:textId="07CDFB2E" w:rsidR="006747A6" w:rsidRPr="006747A6" w:rsidRDefault="006747A6" w:rsidP="006747A6">
      <w:pPr>
        <w:pStyle w:val="BodyText"/>
        <w:jc w:val="center"/>
        <w:rPr>
          <w:b/>
          <w:bCs/>
        </w:rPr>
      </w:pPr>
      <w:bookmarkStart w:id="0" w:name="references"/>
      <w:r w:rsidRPr="006747A6">
        <w:rPr>
          <w:b/>
          <w:bCs/>
        </w:rPr>
        <w:t>Appendix</w:t>
      </w:r>
    </w:p>
    <w:p w14:paraId="6925D706" w14:textId="427CF617" w:rsidR="00A2461D" w:rsidRDefault="00981731">
      <w:pPr>
        <w:pStyle w:val="BodyText"/>
      </w:pPr>
      <w:r>
        <w:t xml:space="preserve">Additional analyses were conducted in an attempt to clarify the effect of task on classification accuracy. These supplementary analyses were not seen as central to the current </w:t>
      </w:r>
      <w:proofErr w:type="gramStart"/>
      <w:r>
        <w:t>study, but</w:t>
      </w:r>
      <w:proofErr w:type="gramEnd"/>
      <w:r>
        <w:t xml:space="preserve"> could prove to be informative to researchers attempting to replicate or extend these findings in the future. The results from the primary analysis showed that classification accuracies were the lowest for the Memorize condition. To further understand why classification accuracy was lower for the Memorize condition than it was for the Search or Rate condition, the Exploratory and Confirmatory timeline datasets were systematically batched into subsets with the Search (S), Memorize (M), or Rate (R) condition removed (i.e., </w:t>
      </w:r>
      <m:oMath>
        <m:r>
          <m:rPr>
            <m:sty m:val="p"/>
          </m:rPr>
          <w:rPr>
            <w:rFonts w:ascii="Cambria Math" w:hAnsi="Cambria Math"/>
          </w:rPr>
          <m:t>⌀</m:t>
        </m:r>
      </m:oMath>
      <w:r>
        <w:t>MR, S</w:t>
      </w:r>
      <m:oMath>
        <m:r>
          <m:rPr>
            <m:sty m:val="p"/>
          </m:rPr>
          <w:rPr>
            <w:rFonts w:ascii="Cambria Math" w:hAnsi="Cambria Math"/>
          </w:rPr>
          <m:t>⌀</m:t>
        </m:r>
      </m:oMath>
      <w:r>
        <w:t>R, SM</w:t>
      </w:r>
      <m:oMath>
        <m:r>
          <m:rPr>
            <m:sty m:val="p"/>
          </m:rPr>
          <w:rPr>
            <w:rFonts w:ascii="Cambria Math" w:hAnsi="Cambria Math"/>
          </w:rPr>
          <m:t>⌀</m:t>
        </m:r>
      </m:oMath>
      <w:r>
        <w:t>), and then run through the CNN classifier using the same methods as the primary analysis, but with only two classes.</w:t>
      </w:r>
    </w:p>
    <w:p w14:paraId="6BB6DF23" w14:textId="77777777" w:rsidR="00A2461D" w:rsidRDefault="00981731">
      <w:pPr>
        <w:pStyle w:val="BodyText"/>
      </w:pPr>
      <w:r>
        <w:t>All of the data subsets analyzed in this supplementary analysis were decoded with better than chance accuracy (see Figure 8a). The same pattern of results was observed in both the Exploratory and Confirmatory datasets. When the Memorize condition was removed, classification accuracy improved (see Table ??, Figure 8a). When the Rate condition was removed, classification was the worst. When the Memorize condition was included (i.e., SM</w:t>
      </w:r>
      <m:oMath>
        <m:r>
          <m:rPr>
            <m:sty m:val="p"/>
          </m:rPr>
          <w:rPr>
            <w:rFonts w:ascii="Cambria Math" w:hAnsi="Cambria Math"/>
          </w:rPr>
          <m:t>⌀</m:t>
        </m:r>
      </m:oMath>
      <w:r>
        <w:t xml:space="preserve"> and </w:t>
      </w:r>
      <m:oMath>
        <m:r>
          <m:rPr>
            <m:sty m:val="p"/>
          </m:rPr>
          <w:rPr>
            <w:rFonts w:ascii="Cambria Math" w:hAnsi="Cambria Math"/>
          </w:rPr>
          <m:t>⌀</m:t>
        </m:r>
      </m:oMath>
      <w:r>
        <w:t xml:space="preserve">MR), </w:t>
      </w:r>
      <w:proofErr w:type="gramStart"/>
      <w:r>
        <w:t>mis-classifications</w:t>
      </w:r>
      <w:proofErr w:type="gramEnd"/>
      <w:r>
        <w:t xml:space="preserve"> were biased toward Memorize, and the Memorize condition was more accurately predicted than the Search and Rate conditions (see Figure 9).</w:t>
      </w:r>
    </w:p>
    <w:p w14:paraId="619B3960" w14:textId="77777777" w:rsidR="00A2461D" w:rsidRDefault="00981731">
      <w:pPr>
        <w:pStyle w:val="CaptionedFigure"/>
      </w:pPr>
      <w:r>
        <w:rPr>
          <w:noProof/>
        </w:rPr>
        <w:lastRenderedPageBreak/>
        <w:drawing>
          <wp:inline distT="0" distB="0" distL="0" distR="0" wp14:anchorId="5E1A6351" wp14:editId="356111CA">
            <wp:extent cx="5969000" cy="3446496"/>
            <wp:effectExtent l="0" t="0" r="0" b="0"/>
            <wp:docPr id="8" name="Picture" descr="Figure 8.   The graph represents the average accuracy reported for each subset of the Exploratory and Confirmatory timeline data for (a) the supplementary analysis, and the (b) re-calculated accuracies from the primary analysis. All of the data subsets were decoded at levels better than chance (.50). The error bars represent standard errors."/>
            <wp:cNvGraphicFramePr/>
            <a:graphic xmlns:a="http://schemas.openxmlformats.org/drawingml/2006/main">
              <a:graphicData uri="http://schemas.openxmlformats.org/drawingml/2006/picture">
                <pic:pic xmlns:pic="http://schemas.openxmlformats.org/drawingml/2006/picture">
                  <pic:nvPicPr>
                    <pic:cNvPr id="0" name="Picture" descr="figures/supp_analysis/supp_subset_chance.pdf"/>
                    <pic:cNvPicPr>
                      <a:picLocks noChangeAspect="1" noChangeArrowheads="1"/>
                    </pic:cNvPicPr>
                  </pic:nvPicPr>
                  <pic:blipFill>
                    <a:blip r:embed="rId7"/>
                    <a:stretch>
                      <a:fillRect/>
                    </a:stretch>
                  </pic:blipFill>
                  <pic:spPr bwMode="auto">
                    <a:xfrm>
                      <a:off x="0" y="0"/>
                      <a:ext cx="5969000" cy="3446496"/>
                    </a:xfrm>
                    <a:prstGeom prst="rect">
                      <a:avLst/>
                    </a:prstGeom>
                    <a:noFill/>
                    <a:ln w="9525">
                      <a:noFill/>
                      <a:headEnd/>
                      <a:tailEnd/>
                    </a:ln>
                  </pic:spPr>
                </pic:pic>
              </a:graphicData>
            </a:graphic>
          </wp:inline>
        </w:drawing>
      </w:r>
    </w:p>
    <w:p w14:paraId="1AF4F4DD" w14:textId="77777777" w:rsidR="00A2461D" w:rsidRDefault="00981731">
      <w:pPr>
        <w:pStyle w:val="ImageCaption"/>
      </w:pPr>
      <w:r>
        <w:rPr>
          <w:i/>
          <w:iCs/>
        </w:rPr>
        <w:t>Figure</w:t>
      </w:r>
      <w:r>
        <w:t xml:space="preserve"> </w:t>
      </w:r>
      <w:r>
        <w:rPr>
          <w:i/>
          <w:iCs/>
        </w:rPr>
        <w:t xml:space="preserve">8.  </w:t>
      </w:r>
      <w:r>
        <w:t xml:space="preserve"> The graph represents the average accuracy reported for each subset of the Exploratory and Confirmatory timeline data for (a) the supplementary analysis, and the (b) re-calculated accuracies from the primary analysis. All of the data subsets were decoded at levels better than chance (.50). The error bars represent standard errors.</w:t>
      </w:r>
    </w:p>
    <w:p w14:paraId="426285B9" w14:textId="77777777" w:rsidR="00A2461D" w:rsidRDefault="00981731">
      <w:pPr>
        <w:pStyle w:val="CaptionedFigure"/>
      </w:pPr>
      <w:r>
        <w:rPr>
          <w:noProof/>
        </w:rPr>
        <w:lastRenderedPageBreak/>
        <w:drawing>
          <wp:inline distT="0" distB="0" distL="0" distR="0" wp14:anchorId="67F4336B" wp14:editId="1E658330">
            <wp:extent cx="5969000" cy="3795791"/>
            <wp:effectExtent l="0" t="0" r="0" b="0"/>
            <wp:docPr id="9" name="Picture" descr="Figure 9.   The confusion matrices represent the average classification accuracies for each condition of the timeline data (S = Search, M = Memorize, R = Rate). The vertical axis of the confusion matrices represents the actual condition for the trial. The horizontal axis of the confusion matrices represents the condition that was predicted by the model."/>
            <wp:cNvGraphicFramePr/>
            <a:graphic xmlns:a="http://schemas.openxmlformats.org/drawingml/2006/main">
              <a:graphicData uri="http://schemas.openxmlformats.org/drawingml/2006/picture">
                <pic:pic xmlns:pic="http://schemas.openxmlformats.org/drawingml/2006/picture">
                  <pic:nvPicPr>
                    <pic:cNvPr id="0" name="Picture" descr="figures/supp_analysis/confusion_matrices/supp_conf_matrices.pdf"/>
                    <pic:cNvPicPr>
                      <a:picLocks noChangeAspect="1" noChangeArrowheads="1"/>
                    </pic:cNvPicPr>
                  </pic:nvPicPr>
                  <pic:blipFill>
                    <a:blip r:embed="rId8"/>
                    <a:stretch>
                      <a:fillRect/>
                    </a:stretch>
                  </pic:blipFill>
                  <pic:spPr bwMode="auto">
                    <a:xfrm>
                      <a:off x="0" y="0"/>
                      <a:ext cx="5969000" cy="3795791"/>
                    </a:xfrm>
                    <a:prstGeom prst="rect">
                      <a:avLst/>
                    </a:prstGeom>
                    <a:noFill/>
                    <a:ln w="9525">
                      <a:noFill/>
                      <a:headEnd/>
                      <a:tailEnd/>
                    </a:ln>
                  </pic:spPr>
                </pic:pic>
              </a:graphicData>
            </a:graphic>
          </wp:inline>
        </w:drawing>
      </w:r>
    </w:p>
    <w:p w14:paraId="58B0CFF7" w14:textId="77777777" w:rsidR="00A2461D" w:rsidRDefault="00981731">
      <w:pPr>
        <w:pStyle w:val="ImageCaption"/>
      </w:pPr>
      <w:r>
        <w:rPr>
          <w:i/>
          <w:iCs/>
        </w:rPr>
        <w:t>Figure</w:t>
      </w:r>
      <w:r>
        <w:t xml:space="preserve"> </w:t>
      </w:r>
      <w:r>
        <w:rPr>
          <w:i/>
          <w:iCs/>
        </w:rPr>
        <w:t xml:space="preserve">9.  </w:t>
      </w:r>
      <w:r>
        <w:t xml:space="preserve"> The confusion matrices represent the average classification accuracies for each condition of the timeline data (S = Search, M = Memorize, R = Rate). The vertical axis of the confusion matrices represents the actual condition for the trial. The horizontal axis of the confusion matrices represents the condition that was predicted by the model.</w:t>
      </w:r>
    </w:p>
    <w:p w14:paraId="122714B2" w14:textId="77777777" w:rsidR="00A2461D" w:rsidRDefault="00981731">
      <w:pPr>
        <w:pStyle w:val="BodyText"/>
      </w:pPr>
      <w:r>
        <w:t xml:space="preserve">The accuracies for all of the data subsets observed in the supplementary analysis were higher than the accuracies observed in the main analysis. Although there is a clear difference in accuracy, the primary analysis was classifying three categories (chance = .33) and the supplementary analysis was classifying two categories (chance = .50). Because the baseline chance performance was different for the primary and supplemental analyses, any conclusions drawn from a comparison of the results of analyses could be misleading. For this reason, we revisited the results from the primary analysis and re-calculated the predictions to be equivalent to a 50% chance threshold. Because the cross-validation scheme implemented by the </w:t>
      </w:r>
      <w:proofErr w:type="spellStart"/>
      <w:r>
        <w:lastRenderedPageBreak/>
        <w:t>DeLINEATE</w:t>
      </w:r>
      <w:proofErr w:type="spellEnd"/>
      <w:r>
        <w:t xml:space="preserve"> toolbox (</w:t>
      </w:r>
      <w:hyperlink r:id="rId9">
        <w:r>
          <w:rPr>
            <w:rStyle w:val="Hyperlink"/>
          </w:rPr>
          <w:t>http://delineate.it</w:t>
        </w:r>
      </w:hyperlink>
      <w:r>
        <w:t>) (</w:t>
      </w:r>
      <w:proofErr w:type="spellStart"/>
      <w:r>
        <w:t>Kuntzelman</w:t>
      </w:r>
      <w:proofErr w:type="spellEnd"/>
      <w:r>
        <w:t xml:space="preserve"> et al., 2021) guaranteed an equal number of trials in the test set were assigned to each condition for each dataset, we were able to re-calculate 2-category predictions from the 3-category predictions presented in the confusion matrices from the primary analysis (see Figure 5). The predictions were re-calculated using the following formula: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m:t>
            </m:r>
          </m:sub>
        </m:sSub>
      </m:oMath>
      <w:r>
        <w:t xml:space="preserve"> =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ABC</m:t>
            </m:r>
            <m:r>
              <m:rPr>
                <m:sty m:val="p"/>
              </m:rPr>
              <w:rPr>
                <w:rFonts w:ascii="Cambria Math" w:hAnsi="Cambria Math"/>
              </w:rPr>
              <m:t>)</m:t>
            </m:r>
          </m:sub>
        </m:sSub>
      </m:oMath>
      <w:r>
        <w:t xml:space="preserve"> /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ABC</m:t>
            </m:r>
            <m:r>
              <m:rPr>
                <m:sty m:val="p"/>
              </m:rPr>
              <w:rPr>
                <w:rFonts w:ascii="Cambria Math" w:hAnsi="Cambria Math"/>
              </w:rPr>
              <m:t>)</m:t>
            </m:r>
          </m:sub>
        </m:sSub>
      </m:oMath>
      <w:r>
        <w:t xml:space="preserve"> +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ABC</m:t>
            </m:r>
            <m:r>
              <m:rPr>
                <m:sty m:val="p"/>
              </m:rPr>
              <w:rPr>
                <w:rFonts w:ascii="Cambria Math" w:hAnsi="Cambria Math"/>
              </w:rPr>
              <m:t>)</m:t>
            </m:r>
          </m:sub>
        </m:sSub>
      </m:oMath>
      <w:r>
        <w:t>). For example, acc</w:t>
      </w:r>
      <w:proofErr w:type="spellStart"/>
      <w:r>
        <w:t>uracy</w:t>
      </w:r>
      <w:proofErr w:type="spellEnd"/>
      <w:r>
        <w:t xml:space="preserve"> for the Search classification for S</w:t>
      </w:r>
      <m:oMath>
        <m:r>
          <m:rPr>
            <m:sty m:val="p"/>
          </m:rPr>
          <w:rPr>
            <w:rFonts w:ascii="Cambria Math" w:hAnsi="Cambria Math"/>
          </w:rPr>
          <m:t>⌀</m:t>
        </m:r>
      </m:oMath>
      <w:r>
        <w:t>R would be calculated with the following: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sub>
        </m:sSub>
      </m:oMath>
      <w:r>
        <w:t xml:space="preserve"> =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SMR</m:t>
            </m:r>
            <m:r>
              <m:rPr>
                <m:sty m:val="p"/>
              </m:rPr>
              <w:rPr>
                <w:rFonts w:ascii="Cambria Math" w:hAnsi="Cambria Math"/>
              </w:rPr>
              <m:t>)</m:t>
            </m:r>
          </m:sub>
        </m:sSub>
      </m:oMath>
      <w:r>
        <w:t xml:space="preserve"> /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SMR</m:t>
            </m:r>
            <m:r>
              <m:rPr>
                <m:sty m:val="p"/>
              </m:rPr>
              <w:rPr>
                <w:rFonts w:ascii="Cambria Math" w:hAnsi="Cambria Math"/>
              </w:rPr>
              <m:t>)</m:t>
            </m:r>
          </m:sub>
        </m:sSub>
      </m:oMath>
      <w:r>
        <w:t xml:space="preserve"> +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SMR</m:t>
            </m:r>
            <m:r>
              <m:rPr>
                <m:sty m:val="p"/>
              </m:rPr>
              <w:rPr>
                <w:rFonts w:ascii="Cambria Math" w:hAnsi="Cambria Math"/>
              </w:rPr>
              <m:t>)</m:t>
            </m:r>
          </m:sub>
        </m:sSub>
      </m:oMath>
      <w:r>
        <w:t>, where Prediction</w:t>
      </w:r>
      <m:oMath>
        <m:sSub>
          <m:sSubPr>
            <m:ctrlPr>
              <w:rPr>
                <w:rFonts w:ascii="Cambria Math" w:hAnsi="Cambria Math"/>
              </w:rPr>
            </m:ctrlPr>
          </m:sSubPr>
          <m:e>
            <m:r>
              <w:rPr>
                <w:rFonts w:ascii="Cambria Math" w:hAnsi="Cambria Math"/>
              </w:rPr>
              <m:t>​</m:t>
            </m:r>
          </m:e>
          <m:sub>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R</m:t>
            </m:r>
            <m:r>
              <m:rPr>
                <m:sty m:val="p"/>
              </m:rPr>
              <w:rPr>
                <w:rFonts w:ascii="Cambria Math" w:hAnsi="Cambria Math"/>
              </w:rPr>
              <m:t>)</m:t>
            </m:r>
          </m:sub>
        </m:sSub>
      </m:oMath>
      <w:r>
        <w:t xml:space="preserve"> is the ratio of Search trials that were misclassified as Rate.</w:t>
      </w:r>
    </w:p>
    <w:p w14:paraId="00519B9A" w14:textId="77777777" w:rsidR="00A2461D" w:rsidRDefault="00981731">
      <w:pPr>
        <w:pStyle w:val="BodyText"/>
      </w:pPr>
      <w:r>
        <w:t xml:space="preserve">The results for the re-calculated predictions followed a pattern similar to the main supplementary analysis (see Figure 8b). Looking back at the primary analysis, the 3-category classifications predicted the Memorize conditions with the lowest accuracy (c.f., Search and Rate conditions), and </w:t>
      </w:r>
      <w:proofErr w:type="gramStart"/>
      <w:r>
        <w:t>mis-classifications</w:t>
      </w:r>
      <w:proofErr w:type="gramEnd"/>
      <w:r>
        <w:t xml:space="preserve"> of the Search and Rate conditions were most often categorized as Memorize (see Figure 5). Because the Memorize condition was mis-classified more often than the other conditions in the primary analysis, the removal of the third class in the re-calculated SM</w:t>
      </w:r>
      <m:oMath>
        <m:r>
          <m:rPr>
            <m:sty m:val="p"/>
          </m:rPr>
          <w:rPr>
            <w:rFonts w:ascii="Cambria Math" w:hAnsi="Cambria Math"/>
          </w:rPr>
          <m:t>⌀</m:t>
        </m:r>
      </m:oMath>
      <w:r>
        <w:t xml:space="preserve"> and </w:t>
      </w:r>
      <m:oMath>
        <m:r>
          <m:rPr>
            <m:sty m:val="p"/>
          </m:rPr>
          <w:rPr>
            <w:rFonts w:ascii="Cambria Math" w:hAnsi="Cambria Math"/>
          </w:rPr>
          <m:t>⌀</m:t>
        </m:r>
      </m:oMath>
      <w:r>
        <w:t>MR subsets resulted in a disproportionate amount of mis-classified Memorize trials being removed from those data subsets, somewhat eliminating the tendency to mis-classify Search and Rate trials as Memorize (see Figure 10). Nevertheless, the re-calculated SM</w:t>
      </w:r>
      <m:oMath>
        <m:r>
          <m:rPr>
            <m:sty m:val="p"/>
          </m:rPr>
          <w:rPr>
            <w:rFonts w:ascii="Cambria Math" w:hAnsi="Cambria Math"/>
          </w:rPr>
          <m:t>⌀</m:t>
        </m:r>
      </m:oMath>
      <w:r>
        <w:t xml:space="preserve"> and </w:t>
      </w:r>
      <m:oMath>
        <m:r>
          <m:rPr>
            <m:sty m:val="p"/>
          </m:rPr>
          <w:rPr>
            <w:rFonts w:ascii="Cambria Math" w:hAnsi="Cambria Math"/>
          </w:rPr>
          <m:t>⌀</m:t>
        </m:r>
      </m:oMath>
      <w:r>
        <w:t>MR subsets were classified less accurately than S</w:t>
      </w:r>
      <m:oMath>
        <m:r>
          <m:rPr>
            <m:sty m:val="p"/>
          </m:rPr>
          <w:rPr>
            <w:rFonts w:ascii="Cambria Math" w:hAnsi="Cambria Math"/>
          </w:rPr>
          <m:t>⌀</m:t>
        </m:r>
      </m:oMath>
      <w:r>
        <w:t>R, just as in the main supplementary analysis.</w:t>
      </w:r>
    </w:p>
    <w:p w14:paraId="55CB197E" w14:textId="77777777" w:rsidR="00A2461D" w:rsidRDefault="00981731">
      <w:pPr>
        <w:pStyle w:val="CaptionedFigure"/>
      </w:pPr>
      <w:r>
        <w:rPr>
          <w:noProof/>
        </w:rPr>
        <w:lastRenderedPageBreak/>
        <w:drawing>
          <wp:inline distT="0" distB="0" distL="0" distR="0" wp14:anchorId="376690D2" wp14:editId="74CE8D98">
            <wp:extent cx="5969000" cy="3792070"/>
            <wp:effectExtent l="0" t="0" r="0" b="0"/>
            <wp:docPr id="10" name="Picture" descr="Figure 10.   The confusion matrices represent a re-calculation of the classification accuracies for each category from the primary analysis. This re-calculation is meant to make the accuracies presented in the primary analysis (chance = .33) equivalent to the classification accuracies presented in the supplementary analysis (chance = .50)."/>
            <wp:cNvGraphicFramePr/>
            <a:graphic xmlns:a="http://schemas.openxmlformats.org/drawingml/2006/main">
              <a:graphicData uri="http://schemas.openxmlformats.org/drawingml/2006/picture">
                <pic:pic xmlns:pic="http://schemas.openxmlformats.org/drawingml/2006/picture">
                  <pic:nvPicPr>
                    <pic:cNvPr id="0" name="Picture" descr="figures/supp_analysis/recalculations/confusion_matrices/recalc_conf_matrices.pdf"/>
                    <pic:cNvPicPr>
                      <a:picLocks noChangeAspect="1" noChangeArrowheads="1"/>
                    </pic:cNvPicPr>
                  </pic:nvPicPr>
                  <pic:blipFill>
                    <a:blip r:embed="rId10"/>
                    <a:stretch>
                      <a:fillRect/>
                    </a:stretch>
                  </pic:blipFill>
                  <pic:spPr bwMode="auto">
                    <a:xfrm>
                      <a:off x="0" y="0"/>
                      <a:ext cx="5969000" cy="3792070"/>
                    </a:xfrm>
                    <a:prstGeom prst="rect">
                      <a:avLst/>
                    </a:prstGeom>
                    <a:noFill/>
                    <a:ln w="9525">
                      <a:noFill/>
                      <a:headEnd/>
                      <a:tailEnd/>
                    </a:ln>
                  </pic:spPr>
                </pic:pic>
              </a:graphicData>
            </a:graphic>
          </wp:inline>
        </w:drawing>
      </w:r>
    </w:p>
    <w:p w14:paraId="6B9DD99A" w14:textId="77777777" w:rsidR="00A2461D" w:rsidRDefault="00981731">
      <w:pPr>
        <w:pStyle w:val="ImageCaption"/>
      </w:pPr>
      <w:r>
        <w:rPr>
          <w:i/>
          <w:iCs/>
        </w:rPr>
        <w:t>Figure</w:t>
      </w:r>
      <w:r>
        <w:t xml:space="preserve"> </w:t>
      </w:r>
      <w:r>
        <w:rPr>
          <w:i/>
          <w:iCs/>
        </w:rPr>
        <w:t xml:space="preserve">10.  </w:t>
      </w:r>
      <w:r>
        <w:t xml:space="preserve"> The confusion matrices represent a re-calculation of the classification accuracies for each category from the primary analysis. This re-calculation is meant to make the accuracies presented in the primary analysis (chance = .33) equivalent to the classification accuracies presented in the supplementary analysis (chance = .50).</w:t>
      </w:r>
      <w:bookmarkEnd w:id="0"/>
    </w:p>
    <w:sectPr w:rsidR="00A2461D" w:rsidSect="00CB20D0">
      <w:headerReference w:type="even" r:id="rId11"/>
      <w:headerReference w:type="default" r:id="rId12"/>
      <w:headerReference w:type="first" r:id="rId13"/>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347DBC" w14:textId="77777777" w:rsidR="00981731" w:rsidRDefault="00981731">
      <w:pPr>
        <w:spacing w:before="0" w:after="0" w:line="240" w:lineRule="auto"/>
      </w:pPr>
      <w:r>
        <w:separator/>
      </w:r>
    </w:p>
  </w:endnote>
  <w:endnote w:type="continuationSeparator" w:id="0">
    <w:p w14:paraId="5BD854D8" w14:textId="77777777" w:rsidR="00981731" w:rsidRDefault="0098173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FF2CA6" w14:textId="77777777" w:rsidR="00981731" w:rsidRDefault="00981731">
      <w:r>
        <w:separator/>
      </w:r>
    </w:p>
  </w:footnote>
  <w:footnote w:type="continuationSeparator" w:id="0">
    <w:p w14:paraId="2C82B539" w14:textId="77777777" w:rsidR="00981731" w:rsidRDefault="009817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6F313C86" w14:textId="77777777" w:rsidR="00AF36ED" w:rsidRDefault="0098173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EBD9B0" w14:textId="77777777" w:rsidR="00AF36ED" w:rsidRDefault="006747A6"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4A4822B0" w14:textId="77777777" w:rsidR="00AF36ED" w:rsidRDefault="0098173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678670" w14:textId="77777777" w:rsidR="00AF36ED" w:rsidRPr="00A05772" w:rsidRDefault="00981731" w:rsidP="00572FF5">
    <w:pPr>
      <w:pStyle w:val="Header"/>
      <w:ind w:right="357"/>
    </w:pPr>
    <w:r>
      <w:t>DEEP LEARNING AND EYE TRACKING</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42C4DE95" w14:textId="77777777" w:rsidR="00DA0F6A" w:rsidRDefault="00981731"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9BD266" w14:textId="77777777" w:rsidR="00DA0F6A" w:rsidRDefault="00981731" w:rsidP="00DA0F6A">
    <w:pPr>
      <w:pStyle w:val="Header"/>
      <w:ind w:right="360"/>
    </w:pPr>
    <w:r>
      <w:t>Running head: DEEP LEARNING AND EYE TRACKING</w:t>
    </w:r>
  </w:p>
  <w:p w14:paraId="15E3457C" w14:textId="77777777" w:rsidR="00CB20D0" w:rsidRPr="00A05772" w:rsidRDefault="006747A6"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6747A6"/>
    <w:rsid w:val="00737F1B"/>
    <w:rsid w:val="00784D58"/>
    <w:rsid w:val="008D6863"/>
    <w:rsid w:val="00981731"/>
    <w:rsid w:val="00A2461D"/>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75D490"/>
  <w15:docId w15:val="{C9B44ADA-BFA7-1844-B298-BE7B1EFC6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delineate.i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739</Words>
  <Characters>4313</Characters>
  <Application>Microsoft Office Word</Application>
  <DocSecurity>0</DocSecurity>
  <Lines>62</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Convolutional neural networks can decode eye movement data: A black box approach to predicting task from eye movements</vt:lpstr>
      <vt:lpstr>TITLE</vt:lpstr>
    </vt:vector>
  </TitlesOfParts>
  <Manager/>
  <Company/>
  <LinksUpToDate>false</LinksUpToDate>
  <CharactersWithSpaces>5044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Convolutional neural networks can decode eye movement data: A black box approach to predicting task from eye movements</dc:title>
  <dc:creator>Zachary Cole</dc:creator>
  <cp:keywords/>
  <cp:lastModifiedBy>Zachary Cole</cp:lastModifiedBy>
  <cp:revision>3</cp:revision>
  <dcterms:created xsi:type="dcterms:W3CDTF">2021-05-27T03:28:00Z</dcterms:created>
  <dcterms:modified xsi:type="dcterms:W3CDTF">2021-05-27T03:54:00Z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data used for the exploratory and confirmatory analyses in the present manuscript are derived from experiments funded by NIH/NEI Grant 1R01EY022974 to MDD. Work done to develop the analysis approach was supported by NSF/EPSCoR grant #1632849 (MRJ and MDD). Additionally, this work was supported by the National Institute of General Medical Sciences of the National Institutes of Health [grant number P20 GM130461 awarded to MRJ and colleagues] and the Rural Drug Addiction Research Center at the University of Nebraska-Lincoln. The content is solely the responsibility of the authors and does not necessarily represent the official views of the National Institutes of Health or the University of Nebraska.</vt:lpwstr>
  </property>
  <property fmtid="{D5CDD505-2E9C-101B-9397-08002B2CF9AE}" pid="4" name="bibliography">
    <vt:lpwstr>references/blackbox_manuscript.bib</vt:lpwstr>
  </property>
  <property fmtid="{D5CDD505-2E9C-101B-9397-08002B2CF9AE}" pid="5" name="classoption">
    <vt:lpwstr>man, donotrepeattitle</vt:lpwstr>
  </property>
  <property fmtid="{D5CDD505-2E9C-101B-9397-08002B2CF9AE}" pid="6" name="csl">
    <vt:lpwstr>/Library/Frameworks/R.framework/Versions/4.0/Resources/library/papaja/rmd/apa6.csl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_caption">
    <vt:lpwstr>yes</vt:lpwstr>
  </property>
  <property fmtid="{D5CDD505-2E9C-101B-9397-08002B2CF9AE}" pid="10" name="figsintext">
    <vt:lpwstr>yes</vt:lpwstr>
  </property>
  <property fmtid="{D5CDD505-2E9C-101B-9397-08002B2CF9AE}" pid="11" name="figurelist">
    <vt:lpwstr>no</vt:lpwstr>
  </property>
  <property fmtid="{D5CDD505-2E9C-101B-9397-08002B2CF9AE}" pid="12" name="floatsintext">
    <vt:lpwstr>yes</vt:lpwstr>
  </property>
  <property fmtid="{D5CDD505-2E9C-101B-9397-08002B2CF9AE}" pid="13" name="footnotelist">
    <vt:lpwstr>no</vt:lpwstr>
  </property>
  <property fmtid="{D5CDD505-2E9C-101B-9397-08002B2CF9AE}" pid="14" name="header-includes">
    <vt:lpwstr/>
  </property>
  <property fmtid="{D5CDD505-2E9C-101B-9397-08002B2CF9AE}" pid="15" name="linenumbers">
    <vt:lpwstr>no</vt:lpwstr>
  </property>
  <property fmtid="{D5CDD505-2E9C-101B-9397-08002B2CF9AE}" pid="16" name="mainfont">
    <vt:lpwstr>Helvetica</vt:lpwstr>
  </property>
  <property fmtid="{D5CDD505-2E9C-101B-9397-08002B2CF9AE}" pid="17" name="mask">
    <vt:lpwstr>no</vt:lpwstr>
  </property>
  <property fmtid="{D5CDD505-2E9C-101B-9397-08002B2CF9AE}" pid="18" name="output">
    <vt:lpwstr>papaja::apa6_docx</vt:lpwstr>
  </property>
  <property fmtid="{D5CDD505-2E9C-101B-9397-08002B2CF9AE}" pid="19" name="shorttitle">
    <vt:lpwstr>Deep learning and eye tracking</vt:lpwstr>
  </property>
  <property fmtid="{D5CDD505-2E9C-101B-9397-08002B2CF9AE}" pid="20" name="tablelist">
    <vt:lpwstr>no</vt:lpwstr>
  </property>
</Properties>
</file>