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Приложение № 1. ОПИСАНИЕ ПРОЕКТА</w:t>
      </w:r>
    </w:p>
    <w:p>
      <w:pPr>
        <w:pStyle w:val="Heading1"/>
      </w:pPr>
      <w:r>
        <w:t>I. Аннотация проекта</w:t>
      </w:r>
    </w:p>
    <w:p>
      <w:pPr>
        <w:spacing w:after="120"/>
      </w:pPr>
      <w:r>
        <w:rPr>
          <w:sz w:val="24"/>
        </w:rPr>
        <w:t>Наименование проекта</w:t>
        <w:br/>
        <w:t>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</w:t>
      </w:r>
    </w:p>
    <w:p>
      <w:pPr>
        <w:spacing w:after="120"/>
      </w:pPr>
      <w:r>
        <w:rPr>
          <w:sz w:val="24"/>
        </w:rPr>
        <w:t>Тематика проекта</w:t>
        <w:br/>
        <w:t>Приоритетные направления научно-технологического развития РАН (п. 2.1.5): переход к персонализированной медицине, высокотехнологичным системам здравоохранения и технологиям здоровьесбережения; создание информационных систем, технологий хранения и анализа данных, а также технологий на основе искусственного интеллекта (машинное и глубокое обучение в онкологической транскриптомике).</w:t>
      </w:r>
    </w:p>
    <w:p>
      <w:pPr>
        <w:spacing w:after="120"/>
      </w:pPr>
      <w:r>
        <w:rPr>
          <w:sz w:val="24"/>
        </w:rPr>
        <w:t>Ключевые слова</w:t>
        <w:br/>
        <w:t>микроРНК, мРНК, онкология, рак, машинное обучение, глубинное обучение</w:t>
      </w:r>
    </w:p>
    <w:p>
      <w:pPr>
        <w:spacing w:after="120"/>
      </w:pPr>
      <w:r>
        <w:rPr>
          <w:sz w:val="24"/>
        </w:rPr>
        <w:t>Сроки реализации проекта</w:t>
        <w:br/>
        <w:t>2027 г. – 2028 г.</w:t>
      </w:r>
    </w:p>
    <w:p>
      <w:pPr>
        <w:spacing w:after="120"/>
      </w:pPr>
      <w:r>
        <w:rPr>
          <w:sz w:val="24"/>
        </w:rPr>
        <w:t>Ожидаемые результаты проекта</w:t>
        <w:br/>
        <w:t>Планируется завершить цикл исследований, начатый в 2024–2026 гг., и выйти на новый уровень — пространственно-разрешённую транскриптомику. На базе созданного ансамбля моделей глубинного обучения (median R² ≈ 0,8 для 159 микроРНК на bulk- и scRNA-seq) будут разработаны методы предсказания профиля микроРНК по данным spatial RNA-seq (Visium и аналоги), построен пан-онкологический атлас пространственных закономерностей регуляции «микроРНК–мРНК», выявлены микроокружения и границы опухоль–строма с характерными паттернами дизрегуляции. Ряд предсказаний будет подтверждён молекулярно-биологическими методами. Ожидаемый уровень соответствует передовым мировым работам по imputation микроРНК из транскриптомики и пространственной multi-omics; отличительная черта — масштаб scRNA-seq корпуса (&gt;120 наборов, &gt;20 типов тканей/опухолей) и перенос на spatial с учётом накопленного задела по тканевой специфичности и про-онкогенным паттернам (в т.ч. опубликованные результаты по апоптозу и иммунотерапевтическим кандидатам). Область применения: фундаментальная онкология, биомаркерные исследования, поддержка персонализированной онкологии и разработки таргетной терапии.</w:t>
      </w:r>
    </w:p>
    <w:p>
      <w:pPr>
        <w:spacing w:after="120"/>
      </w:pPr>
      <w:r>
        <w:rPr>
          <w:sz w:val="24"/>
        </w:rPr>
        <w:t>Сведения об исполнителях проекта</w:t>
        <w:br/>
        <w:t>[ЗАПОЛНИТЬ: полное наименование организаций-участников, ФИО руководителя и ключевых исполнителей, численность коллектива, доля молодых учёных и аспирантов, h-index/ключевые публикации коллектива по теме проекта за 2020–2026 гг., роли исполнителей (ML, биоинформатика, молекулярная биология).]</w:t>
      </w:r>
    </w:p>
    <w:p>
      <w:pPr>
        <w:pStyle w:val="Heading1"/>
      </w:pPr>
      <w:r>
        <w:t>II. Описание проекта</w:t>
      </w:r>
    </w:p>
    <w:p>
      <w:pPr>
        <w:spacing w:after="120"/>
      </w:pPr>
      <w:r>
        <w:rPr>
          <w:sz w:val="24"/>
        </w:rPr>
        <w:t>Цель проекта</w:t>
        <w:br/>
        <w:t>Цель проекта (2027–2028 гг.) — установить закономерности регуляции экспрессионного профиля микроРНК и мРНК в различных типах злокачественной трансформации с учётом пространственной организации ткани, используя молекулярно-биологические методы верификации и методы глубинного обучения, в том числе адаптацию разработанных на этапе 2024–2026 гг. моделей к данным spatial transcriptomics.</w:t>
      </w:r>
    </w:p>
    <w:p>
      <w:pPr>
        <w:spacing w:after="120"/>
      </w:pPr>
      <w:r>
        <w:rPr>
          <w:sz w:val="24"/>
        </w:rPr>
        <w:t>Задачи проекта</w:t>
        <w:br/>
        <w:t>1. Сформировать и нормализовать корпус пространственно-разрешённых транскриптомных данных (Visium / 10x Spatial и совместимые платформы) по онкологическим и контрольным образцам; интегрировать метаданные с существующим реестром scRNA-seq (&gt;120 наборов, &gt;20 типов образцов).</w:t>
      </w:r>
    </w:p>
    <w:p>
      <w:pPr>
        <w:spacing w:after="120"/>
      </w:pPr>
      <w:r>
        <w:rPr>
          <w:sz w:val="24"/>
        </w:rPr>
        <w:t>2. Разработать и обучить модели глубинного обучения для предсказания экспрессии микроРНК по пространственным профилям мРНК с доменной адаптацией от ансамбля TabM/TabPack + градиентный бустинг; учесть пространственную структуру (граф соседства пятен/клеток, batch-effect correction).</w:t>
      </w:r>
    </w:p>
    <w:p>
      <w:pPr>
        <w:spacing w:after="120"/>
      </w:pPr>
      <w:r>
        <w:rPr>
          <w:sz w:val="24"/>
        </w:rPr>
        <w:t>3. Выполнить масштабный инференс, выявить пространственно-локализованные паттерны co-expression микроРНК–мРНК в опухолевых, иммунных и стромальных компартментах; сопоставить с паттернами bulk/scRNA-seq и потерей тканевой специфичности при малигнизации.</w:t>
      </w:r>
    </w:p>
    <w:p>
      <w:pPr>
        <w:spacing w:after="120"/>
      </w:pPr>
      <w:r>
        <w:rPr>
          <w:sz w:val="24"/>
        </w:rPr>
        <w:t>4. Провести молекулярно-биологическую верификацию на выбранных моделях (продолжение линии экспериментальной проверки на scRNA-seq почки): qRT-PCR / in situ гибридизация микроРНК или эквивалентные методы на FFPE/свежих образцах.</w:t>
      </w:r>
    </w:p>
    <w:p>
      <w:pPr>
        <w:spacing w:after="120"/>
      </w:pPr>
      <w:r>
        <w:rPr>
          <w:sz w:val="24"/>
        </w:rPr>
        <w:t>5. Обобщить результаты в открытый программный комплекс и пространственный атлас; подготовить публикации в рецензируемых изданиях «Белого списка» 1–2 уровня.</w:t>
      </w:r>
    </w:p>
    <w:p>
      <w:pPr>
        <w:spacing w:after="120"/>
      </w:pPr>
      <w:r>
        <w:rPr>
          <w:sz w:val="24"/>
        </w:rPr>
        <w:t>Актуальность и значимость проекта</w:t>
        <w:br/>
        <w:t>Обоснование продления. На этапе 2024–2026 гг. достигнут передовой мировой уровень предсказания микроРНК из scRNA-seq (median R² ~ 0,8 для 159 микроРНК), выполнен пан-онкологический анализ паттернов, подтверждена часть выводов experimentally; опубликован анализ тканевой специфичности и кандидатов для иммунотерапии (Int. J. Mol. Sci., 2025). Запланированная задача пространственной транскриптомики не была завершена в срок из-за появления качественно новых публичных spatial-наборов и необходимости доработки архитектур под пространственную автокорреляцию; перенос этой задачи на 2027–2028 гг. логичен и опирается на готовый вычислительный и биологический задел.</w:t>
      </w:r>
    </w:p>
    <w:p>
      <w:pPr>
        <w:spacing w:after="120"/>
      </w:pPr>
      <w:r>
        <w:rPr>
          <w:sz w:val="24"/>
        </w:rPr>
        <w:t>Значимость для страны. Результаты поддерживают приоритеты НТР в области здоровьесбережения и ИИ, снижают зависимость от дорогостоящего параллельного секвенирования микроРНК в клинических когортах, создают основу для биомаркеров и таргетов в российских онкологических центрах.</w:t>
      </w:r>
    </w:p>
    <w:p>
      <w:pPr>
        <w:spacing w:after="120"/>
      </w:pPr>
      <w:r>
        <w:rPr>
          <w:sz w:val="24"/>
        </w:rPr>
        <w:t>Научно-технический уровень. Мировые аналоги фокусируются на bulk или scRNA-seq; пространственное предсказание микроРНК остаётся малоизученным. Планируемые модели с доменным переносом с доказанно точного scRNA-seq ансамбля и масштабом данных превосходят типичные пилотные работы (1–2 типа опухоли).</w:t>
      </w:r>
    </w:p>
    <w:p>
      <w:pPr>
        <w:spacing w:after="120"/>
      </w:pPr>
      <w:r>
        <w:rPr>
          <w:sz w:val="24"/>
        </w:rPr>
        <w:t>Востребованность. Заинтересованы онкологические и биоинформатические подразделения медицинских и исследовательских организаций, разработчики precision oncology; открытое ПО облегчит воспроизведение (GitHub-репозитории проекта уже используются сообществом).</w:t>
      </w:r>
    </w:p>
    <w:p>
      <w:pPr>
        <w:spacing w:after="120"/>
      </w:pPr>
      <w:r>
        <w:rPr>
          <w:sz w:val="24"/>
        </w:rPr>
        <w:t>Социально-экономический эффект. Сокращение стоимости и сроков исследований микроРНК-регуляции в тканевом контексте; потенциал для патентования методов (при необходимости — заявки после 2028).</w:t>
      </w:r>
    </w:p>
    <w:p>
      <w:pPr>
        <w:spacing w:after="120"/>
      </w:pPr>
      <w:r>
        <w:rPr>
          <w:sz w:val="24"/>
        </w:rPr>
        <w:t>Содержание проекта</w:t>
        <w:br/>
        <w:t>Современное состояние. Зарубежные группы активно развивают spatial transcriptomics, deconvolution и imputation мРНК; предсказание микроРНК из мРНК в bulk и single-cell получило развитие (в т.ч. deep learning на табличных данных). Пространственный слой микроРНК практически не представлен в публичных атласах из-за отсутствия routine spatial miRNA-seq. Отечественные работы в основном описывают отдельные микроРНК-мишени; комплексные ML-подходы с экспериментальной валидацией ограничены.</w:t>
      </w:r>
    </w:p>
    <w:p>
      <w:pPr>
        <w:spacing w:after="120"/>
      </w:pPr>
      <w:r>
        <w:rPr>
          <w:sz w:val="24"/>
        </w:rPr>
        <w:t>Конкуренты. Международные команды в области miRNA–mRNA network inference, imputation (TabNet, TabTransformer-класс), spatial deconvolution (Cell2location, RCTD и др.) — прямых конкурентов по spatial miRNA prediction с заявленной точностью на 159 микроРНК и scRNA-seq корпуса &gt;120 наборов немного.</w:t>
      </w:r>
    </w:p>
    <w:p>
      <w:pPr>
        <w:spacing w:after="120"/>
      </w:pPr>
      <w:r>
        <w:rPr>
          <w:sz w:val="24"/>
        </w:rPr>
        <w:t>Методы. Биоинформатика: Scanpy/Squidpy, пространственные графы, batch correction; ML: ансамбль TabM, TabPack, CatBoost/LightGBM, transfer learning scRNA→spatial, кросс-валидация по типам тканей; молекулярная биология: qRT-PCR, ISH.</w:t>
      </w:r>
    </w:p>
    <w:p>
      <w:pPr>
        <w:spacing w:after="120"/>
      </w:pPr>
      <w:r>
        <w:rPr>
          <w:sz w:val="24"/>
        </w:rPr>
        <w:t>Достижимость. Обученные модели 2024–2026, GTEx/bulk/sc пайплайны, псевдобulk-аугментация, репозитории github.com/neuropromotion подтверждают воспроизводимость; spatial-данные доступны в GEO/ArrayExpress.</w:t>
      </w:r>
    </w:p>
    <w:p>
      <w:pPr>
        <w:spacing w:after="120"/>
      </w:pPr>
      <w:r>
        <w:rPr>
          <w:sz w:val="24"/>
        </w:rPr>
        <w:t>Научная новизна. Впервые для широкого пан-онкологического корпуса — систематическое пространственное картирование предсказанной экспрессии микроРНК с интеграцией паттернов потери тканевой специфичности и иммунного/stromal контекста на базе отечественно адаптированных DL-архитектур.</w:t>
      </w:r>
    </w:p>
    <w:p>
      <w:pPr>
        <w:spacing w:after="120"/>
      </w:pPr>
      <w:r>
        <w:rPr>
          <w:sz w:val="24"/>
        </w:rPr>
        <w:t>Практическая новизна. Открытый конвейер «spatial mRNA → miRNA» для исследовательских лабораторий без обязательного miRNA-seq.</w:t>
      </w:r>
    </w:p>
    <w:p>
      <w:pPr>
        <w:spacing w:after="120"/>
      </w:pPr>
      <w:r>
        <w:rPr>
          <w:sz w:val="24"/>
        </w:rPr>
        <w:t>Ожидаемые результаты по годам.</w:t>
      </w:r>
    </w:p>
    <w:p>
      <w:pPr>
        <w:spacing w:after="120"/>
      </w:pPr>
      <w:r>
        <w:rPr>
          <w:sz w:val="24"/>
        </w:rPr>
        <w:t>2027 г.: корпус ≥15–25 spatial-наборов; прототип spatial-модели; пилотные карты 4–6 типов опухолей; сопоставление с scRNA-seq предсказаниями; промежуточный отчёт; не менее 1 статьи в издании «Белого списка» 1–2 уровня (метод/данные spatial imputation).</w:t>
      </w:r>
    </w:p>
    <w:p>
      <w:pPr>
        <w:spacing w:after="120"/>
      </w:pPr>
      <w:r>
        <w:rPr>
          <w:sz w:val="24"/>
        </w:rPr>
        <w:t>2028 г.: финальная модель и бенчмарк; атлас пространственных regulatory patterns; экспериментальная статья по верификации; не менее 1–2 статей «Белого списка» 1–2 уровня (в т.ч. 1 в Q1–Q2 при возможности); представление к защите 1 диссертации к.н.; заключительный отчёт; размещение отчётов в ЕГИСУ НИОКТР; обновление ПО на GitHub.</w:t>
      </w:r>
    </w:p>
    <w:p>
      <w:pPr>
        <w:spacing w:after="120"/>
      </w:pPr>
      <w:r>
        <w:rPr>
          <w:sz w:val="24"/>
        </w:rPr>
        <w:t>Научный задел по проекту</w:t>
        <w:br/>
        <w:t>Результаты 2024–2026 гг. (действующее Соглашение):</w:t>
      </w:r>
    </w:p>
    <w:p>
      <w:pPr>
        <w:spacing w:after="120"/>
      </w:pPr>
      <w:r>
        <w:rPr>
          <w:sz w:val="24"/>
        </w:rPr>
        <w:t>— Построен крупнейший на сегодня в рамках проекта paired miRNA–mRNA датасет: дополнение онкологического bulk-seq данными GTEx, синтетическое bootstrap-паривание; снижение дисбаланса bulk/sc с 17,4:1 до 2,9:1 за счёт псевдобulk из scRNA-seq.</w:t>
      </w:r>
    </w:p>
    <w:p>
      <w:pPr>
        <w:spacing w:after="120"/>
      </w:pPr>
      <w:r>
        <w:rPr>
          <w:sz w:val="24"/>
        </w:rPr>
        <w:t>— Внедрены архитектуры TabPack, TabM; ансамбль двух нейросетей и градиентного бустинга; для 159 микроРНК достигнут median R² ~ 0,8 на тесте для bulk и scRNA-seq.</w:t>
      </w:r>
    </w:p>
    <w:p>
      <w:pPr>
        <w:spacing w:after="120"/>
      </w:pPr>
      <w:r>
        <w:rPr>
          <w:sz w:val="24"/>
        </w:rPr>
        <w:t>— Проанализировано &gt;120 scRNA-seq наборов (&gt;20 типов образцов); предсказаны профили микроРНК; выделены паттерны для опухолевых, иммунных и стромальных клеток.</w:t>
      </w:r>
    </w:p>
    <w:p>
      <w:pPr>
        <w:spacing w:after="120"/>
      </w:pPr>
      <w:r>
        <w:rPr>
          <w:sz w:val="24"/>
        </w:rPr>
        <w:t>— Экспериментальная проверка на модели почки (норма vs рак); статья готовится; https://github.com/neuropromotion/miRNA-prediction-in-single-cell-RNA-seq-data</w:t>
      </w:r>
    </w:p>
    <w:p>
      <w:pPr>
        <w:spacing w:after="120"/>
      </w:pPr>
      <w:r>
        <w:rPr>
          <w:sz w:val="24"/>
        </w:rPr>
        <w:t>— Bulk-анализ тканевой специфичности и дизрегуляции; связь потери специфичности с про-онкогенной ролью; микроРНК апоптоза и 6 кандидатов иммунотерапии: DOI 10.3390/ijms27188153, https://github.com/neuropromotion/mirna-specificity-analysis</w:t>
      </w:r>
    </w:p>
    <w:p>
      <w:pPr>
        <w:spacing w:after="120"/>
      </w:pPr>
      <w:r>
        <w:rPr>
          <w:sz w:val="24"/>
        </w:rPr>
        <w:t>[ЗАПОЛНИТЬ: число защищённых диссертаций 2024–2026; монографии; перечень оборудования (серверы GPU, секвенаторы, qPCR), лицензии ПО, научные школы.]</w:t>
      </w:r>
    </w:p>
    <w:p>
      <w:pPr>
        <w:spacing w:after="120"/>
      </w:pPr>
      <w:r>
        <w:rPr>
          <w:sz w:val="24"/>
        </w:rPr>
        <w:t>Незавершённая задача предыдущего этапа (перенос на 2027–2028): предсказание экспрессии микроРНК в пространственной транскриптомике и анализ пространственных regulatory patterns — включена в задачи 2–3 настоящего продления.</w:t>
      </w:r>
    </w:p>
    <w:p>
      <w:pPr>
        <w:pStyle w:val="Heading1"/>
      </w:pPr>
      <w:r>
        <w:t>III. План работ по проекту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Сроки выполнения этапов</w:t>
            </w:r>
          </w:p>
        </w:tc>
        <w:tc>
          <w:tcPr>
            <w:tcW w:type="dxa" w:w="1995"/>
          </w:tcPr>
          <w:p>
            <w:r>
              <w:t>Наименование мероприятия (этапа)</w:t>
            </w:r>
          </w:p>
        </w:tc>
        <w:tc>
          <w:tcPr>
            <w:tcW w:type="dxa" w:w="1995"/>
          </w:tcPr>
          <w:p>
            <w:r>
              <w:t>Состав выполняемых работ</w:t>
            </w:r>
          </w:p>
        </w:tc>
        <w:tc>
          <w:tcPr>
            <w:tcW w:type="dxa" w:w="1995"/>
          </w:tcPr>
          <w:p>
            <w:r>
              <w:t>Ожидаемые результаты</w:t>
            </w:r>
          </w:p>
        </w:tc>
        <w:tc>
          <w:tcPr>
            <w:tcW w:type="dxa" w:w="1995"/>
          </w:tcPr>
          <w:p>
            <w:r>
              <w:t>Состав разрабатываемых документов</w:t>
            </w:r>
          </w:p>
        </w:tc>
      </w:tr>
      <w:tr>
        <w:tc>
          <w:tcPr>
            <w:tcW w:type="dxa" w:w="1995"/>
          </w:tcPr>
          <w:p>
            <w:r>
              <w:t>Начало: с даты доп. соглашения</w:t>
              <w:br/>
              <w:t>Окончание: 31.12.2027</w:t>
            </w:r>
          </w:p>
        </w:tc>
        <w:tc>
          <w:tcPr>
            <w:tcW w:type="dxa" w:w="1995"/>
          </w:tcPr>
          <w:p>
            <w:r>
              <w:t>Этап 4</w:t>
            </w:r>
          </w:p>
        </w:tc>
        <w:tc>
          <w:tcPr>
            <w:tcW w:type="dxa" w:w="1995"/>
          </w:tcPr>
          <w:p>
            <w:r>
              <w:t>Spatial-данные; модель; пилотный инференс; публикация; верификация (начало)</w:t>
            </w:r>
          </w:p>
        </w:tc>
        <w:tc>
          <w:tcPr>
            <w:tcW w:type="dxa" w:w="1995"/>
          </w:tcPr>
          <w:p>
            <w:r>
              <w:t>Прототип spatial-miRNA; карты 4–6 опухолей; ≥1 статья</w:t>
            </w:r>
          </w:p>
        </w:tc>
        <w:tc>
          <w:tcPr>
            <w:tcW w:type="dxa" w:w="1995"/>
          </w:tcPr>
          <w:p>
            <w:r>
              <w:t>Промежуточный отчёт (4.1), материалы 4.2, отчёт ЕГИСУ</w:t>
            </w:r>
          </w:p>
        </w:tc>
      </w:tr>
      <w:tr>
        <w:tc>
          <w:tcPr>
            <w:tcW w:type="dxa" w:w="1995"/>
          </w:tcPr>
          <w:p>
            <w:r>
              <w:t>Начало: 01.01.2028</w:t>
              <w:br/>
              <w:t>Окончание: 31.12.2028</w:t>
            </w:r>
          </w:p>
        </w:tc>
        <w:tc>
          <w:tcPr>
            <w:tcW w:type="dxa" w:w="1995"/>
          </w:tcPr>
          <w:p>
            <w:r>
              <w:t>Этап 5</w:t>
            </w:r>
          </w:p>
        </w:tc>
        <w:tc>
          <w:tcPr>
            <w:tcW w:type="dxa" w:w="1995"/>
          </w:tcPr>
          <w:p>
            <w:r>
              <w:t>Масштабный инференс; атлас; эксперименты; ПО; публикации</w:t>
            </w:r>
          </w:p>
        </w:tc>
        <w:tc>
          <w:tcPr>
            <w:tcW w:type="dxa" w:w="1995"/>
          </w:tcPr>
          <w:p>
            <w:r>
              <w:t>Атлас; ≥2 статьи (совокупно за 2 года ≥3); диссертация к защите</w:t>
            </w:r>
          </w:p>
        </w:tc>
        <w:tc>
          <w:tcPr>
            <w:tcW w:type="dxa" w:w="1995"/>
          </w:tcPr>
          <w:p>
            <w:r>
              <w:t>Заключительный отчёт, отчёт ЕГИСУ</w:t>
            </w:r>
          </w:p>
        </w:tc>
      </w:tr>
    </w:tbl>
    <w:p>
      <w:r>
        <w:br w:type="page"/>
      </w:r>
    </w:p>
    <w:p>
      <w:pPr>
        <w:pStyle w:val="Title"/>
      </w:pPr>
      <w:r>
        <w:t>Приложение № 2. ТЕХНИЧЕСКОЕ ЗАДАНИЕ</w:t>
      </w:r>
    </w:p>
    <w:p>
      <w:pPr>
        <w:spacing w:after="120"/>
      </w:pPr>
      <w:r>
        <w:rPr>
          <w:sz w:val="24"/>
        </w:rPr>
        <w:t>на выполнение проекта «Установление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обучения»</w:t>
      </w:r>
    </w:p>
    <w:p>
      <w:pPr>
        <w:pStyle w:val="Heading2"/>
      </w:pPr>
      <w:r>
        <w:t>1. Цели проекта</w:t>
      </w:r>
    </w:p>
    <w:p>
      <w:pPr>
        <w:spacing w:after="120"/>
      </w:pPr>
      <w:r>
        <w:rPr>
          <w:sz w:val="24"/>
        </w:rPr>
        <w:t>Цель проекта (2027–2028 гг.) — установить закономерности регуляции экспрессионного профиля микроРНК и мРНК в различных типах злокачественной трансформации с учётом пространственной организации ткани, используя молекулярно-биологические методы верификации и методы глубинного обучения, в том числе адаптацию разработанных на этапе 2024–2026 гг. моделей к данным spatial transcriptomics.</w:t>
      </w:r>
    </w:p>
    <w:p>
      <w:pPr>
        <w:pStyle w:val="Heading2"/>
      </w:pPr>
      <w:r>
        <w:t>2. Задачи проекта</w:t>
      </w:r>
    </w:p>
    <w:p>
      <w:pPr>
        <w:spacing w:after="120"/>
      </w:pPr>
      <w:r>
        <w:rPr>
          <w:sz w:val="24"/>
        </w:rPr>
        <w:t>1. Сформировать и нормализовать корпус пространственно-разрешённых транскриптомных данных (Visium / 10x Spatial и совместимые платформы) по онкологическим и контрольным образцам; интегрировать метаданные с существующим реестром scRNA-seq (&gt;120 наборов, &gt;20 типов образцов).</w:t>
      </w:r>
    </w:p>
    <w:p>
      <w:pPr>
        <w:spacing w:after="120"/>
      </w:pPr>
      <w:r>
        <w:rPr>
          <w:sz w:val="24"/>
        </w:rPr>
        <w:t>2. Разработать и обучить модели глубинного обучения для предсказания экспрессии микроРНК по пространственным профилям мРНК с доменной адаптацией от ансамбля TabM/TabPack + градиентный бустинг; учесть пространственную структуру (граф соседства пятен/клеток, batch-effect correction).</w:t>
      </w:r>
    </w:p>
    <w:p>
      <w:pPr>
        <w:spacing w:after="120"/>
      </w:pPr>
      <w:r>
        <w:rPr>
          <w:sz w:val="24"/>
        </w:rPr>
        <w:t>3. Выполнить масштабный инференс, выявить пространственно-локализованные паттерны co-expression микроРНК–мРНК в опухолевых, иммунных и стромальных компартментах; сопоставить с паттернами bulk/scRNA-seq и потерей тканевой специфичности при малигнизации.</w:t>
      </w:r>
    </w:p>
    <w:p>
      <w:pPr>
        <w:spacing w:after="120"/>
      </w:pPr>
      <w:r>
        <w:rPr>
          <w:sz w:val="24"/>
        </w:rPr>
        <w:t>4. Провести молекулярно-биологическую верификацию на выбранных моделях (продолжение линии экспериментальной проверки на scRNA-seq почки): qRT-PCR / in situ гибридизация микроРНК или эквивалентные методы на FFPE/свежих образцах.</w:t>
      </w:r>
    </w:p>
    <w:p>
      <w:pPr>
        <w:spacing w:after="120"/>
      </w:pPr>
      <w:r>
        <w:rPr>
          <w:sz w:val="24"/>
        </w:rPr>
        <w:t>5. Обобщить результаты в открытый программный комплекс и пространственный атлас; подготовить публикации в рецензируемых изданиях «Белого списка» 1–2 уровня.</w:t>
      </w:r>
    </w:p>
    <w:p>
      <w:pPr>
        <w:pStyle w:val="Heading2"/>
      </w:pPr>
      <w:r>
        <w:t>3. Результаты, которые должны быть получены при выполнении проекта</w:t>
      </w:r>
    </w:p>
    <w:p>
      <w:pPr>
        <w:spacing w:after="120"/>
      </w:pPr>
      <w:r>
        <w:rPr>
          <w:sz w:val="24"/>
        </w:rPr>
        <w:t>— Модель(и) глубинного обучения для предсказания экспрессии микроРНК по spatial RNA-seq с документированными метриками (R², PCC) на hold-out типах тканей/опухолей.</w:t>
        <w:br/>
        <w:t>— Пространственный атлас закономерностей регуляции микроРНК–мРНК (не менее 15 spatial-наборов).</w:t>
        <w:br/>
        <w:t>— Список приоритетных микроРНК и паттернов в микроокружении опухоли (опухоль, иммунитет, stroma).</w:t>
        <w:br/>
        <w:t>— Экспериментально подтверждённый поднабор предсказаний (не менее одной серии опытов).</w:t>
        <w:br/>
        <w:t>— Не менее 3 статей «Белого списка» 1–2 уровня за 2027–2028 гг. (совокупно).</w:t>
        <w:br/>
        <w:t>— Открытый программный комплекс (репозиторий с документацией и воспроизводимыми ноутбуками).</w:t>
        <w:br/>
        <w:t>— 1 диссертация, представленная к защите по результатам проекта (2028).</w:t>
      </w:r>
    </w:p>
    <w:p>
      <w:pPr>
        <w:pStyle w:val="Heading2"/>
      </w:pPr>
      <w:r>
        <w:t>4. Требования к составу работ (исследований), выполняемых по проекту</w:t>
      </w:r>
    </w:p>
    <w:p>
      <w:pPr>
        <w:spacing w:after="120"/>
      </w:pPr>
      <w:r>
        <w:rPr>
          <w:sz w:val="24"/>
        </w:rPr>
        <w:t>4.1. Литературный и ресурсный анализ spatial transcriptomics в онкологии.</w:t>
        <w:br/>
        <w:t>4.2. Подготовка данных, нормализация, spatial graphs, интеграция с scRNA-seq/bulk заделом.</w:t>
        <w:br/>
        <w:t>4.3. Разработка, обучение и валидация DL-моделей; ablation и сравнение с baseline (sc-модель без spatial).</w:t>
        <w:br/>
        <w:t>4.4. Бiological data mining: кластеры, niches, differential patterns malignancy vs normal.</w:t>
        <w:br/>
        <w:t>4.5. Молекулярно-биологические эксперименты верификации.</w:t>
        <w:br/>
        <w:t>4.6. Подготовка публикаций, отчётности, размещение кода и данных (при соблюдении этики и лицензий).</w:t>
      </w:r>
    </w:p>
    <w:p>
      <w:pPr>
        <w:pStyle w:val="Heading2"/>
      </w:pPr>
      <w:r>
        <w:t>5. Требования к выполняемым работам</w:t>
      </w:r>
    </w:p>
    <w:p>
      <w:pPr>
        <w:spacing w:after="120"/>
      </w:pPr>
      <w:r>
        <w:rPr>
          <w:sz w:val="24"/>
        </w:rPr>
        <w:t>Соответствие этическим нормам исследований; воспроизводимость (фиксация версий ПО, seed); хранение данных на защищённых носителях организаций-участников; ежегодная отчётность в срок; использование отечественных и открытых ML-решений в составе ансамбля где возможно.</w:t>
      </w:r>
    </w:p>
    <w:p>
      <w:pPr>
        <w:pStyle w:val="Heading2"/>
      </w:pPr>
      <w:r>
        <w:t>6. Требования к разрабатываемой документации</w:t>
      </w:r>
    </w:p>
    <w:p>
      <w:pPr>
        <w:spacing w:after="120"/>
      </w:pPr>
      <w:r>
        <w:rPr>
          <w:sz w:val="24"/>
        </w:rPr>
        <w:t>Промежуточный (2027) и заключительный (2028) отчёты о НИР; технические отчёты по моделям; README и инструкции к ПО; протоколы лабораторных экспериментов; рукописи статей.</w:t>
      </w:r>
    </w:p>
    <w:p>
      <w:pPr>
        <w:pStyle w:val="Heading2"/>
      </w:pPr>
      <w:r>
        <w:t>7. Этапы работ и сроки их выполнения</w:t>
      </w:r>
    </w:p>
    <w:p>
      <w:pPr>
        <w:spacing w:after="120"/>
      </w:pPr>
      <w:r>
        <w:rPr>
          <w:sz w:val="24"/>
        </w:rPr>
        <w:t>Этап 4 (с даты доп. соглашения — 31.12.2027):</w:t>
        <w:br/>
        <w:t>— Сбор и QC spatial RNA-seq; интеграция с реестром sc/bulk.</w:t>
        <w:br/>
        <w:t>— Разработка spatial-модели (transfer + spatial graph).</w:t>
        <w:br/>
        <w:t>— Пилотный инференс и биологическая интерпретация (4–6 типов опухолей).</w:t>
        <w:br/>
        <w:t>— Подготовка рукописи; промежуточный отчёт; отчёт в ЕГИСУ НИОКТР.</w:t>
        <w:br/>
        <w:t>Документы: промежуточный научный отчёт (4.1), отчётные материалы (4.2).</w:t>
      </w:r>
    </w:p>
    <w:p>
      <w:pPr>
        <w:spacing w:after="120"/>
      </w:pPr>
      <w:r>
        <w:rPr>
          <w:sz w:val="24"/>
        </w:rPr>
        <w:t>Этап 5 (01.01.2028 — 31.12.2028):</w:t>
        <w:br/>
        <w:t>— Масштабный инференс; атлас; сравнение с иммунотерапевтическими/apoptosis-кандидатами.</w:t>
        <w:br/>
        <w:t>— Молекулярная верификация; финализация ПО.</w:t>
        <w:br/>
        <w:t>— Заключительный отчёт; публикации; представление диссертации.</w:t>
        <w:br/>
        <w:t>Документы: заключительный научный отчёт, отчёт в ЕГИСУ НИОКТР.</w:t>
      </w:r>
    </w:p>
    <w:p>
      <w:r>
        <w:br w:type="page"/>
      </w:r>
    </w:p>
    <w:p>
      <w:pPr>
        <w:pStyle w:val="Title"/>
      </w:pPr>
      <w:r>
        <w:t>Приложение № 3. ПЛАН-ГРАФИК</w:t>
      </w:r>
    </w:p>
    <w:p>
      <w:pPr>
        <w:spacing w:after="120"/>
      </w:pPr>
      <w:r>
        <w:rPr>
          <w:sz w:val="24"/>
        </w:rPr>
        <w:t>исполнения обязательств при выполнении работ по проекту «Установление закономерностей регуляции экспрессионного профиля микроРНК и мРНК в различных типах злокачественной трансформации с помощью молекулярно-биологических методов, а также методов глубинного обучения»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 этапа</w:t>
            </w:r>
          </w:p>
        </w:tc>
        <w:tc>
          <w:tcPr>
            <w:tcW w:type="dxa" w:w="2493"/>
          </w:tcPr>
          <w:p>
            <w:r>
              <w:t>Сроки выполнения этапов</w:t>
            </w:r>
          </w:p>
        </w:tc>
        <w:tc>
          <w:tcPr>
            <w:tcW w:type="dxa" w:w="2493"/>
          </w:tcPr>
          <w:p>
            <w:r>
              <w:t>Состав выполняемых работ</w:t>
            </w:r>
          </w:p>
        </w:tc>
        <w:tc>
          <w:tcPr>
            <w:tcW w:type="dxa" w:w="2493"/>
          </w:tcPr>
          <w:p>
            <w:r>
              <w:t>Состав разрабатываемых документов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Начало: с даты доп. соглашения</w:t>
              <w:br/>
              <w:t>Окончание: 31.12.2027</w:t>
            </w:r>
          </w:p>
        </w:tc>
        <w:tc>
          <w:tcPr>
            <w:tcW w:type="dxa" w:w="2493"/>
          </w:tcPr>
          <w:p>
            <w:r>
              <w:t>См. п. 4 ТЗ: spatial данные, модели, пилот, статья, начало верификации</w:t>
            </w:r>
          </w:p>
        </w:tc>
        <w:tc>
          <w:tcPr>
            <w:tcW w:type="dxa" w:w="2493"/>
          </w:tcPr>
          <w:p>
            <w:r>
              <w:t>4.1 Промежуточный отчёт</w:t>
              <w:br/>
              <w:t>4.2 Отчётные приложения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Начало: 01.01.2028</w:t>
              <w:br/>
              <w:t>Окончание: 31.12.2028</w:t>
            </w:r>
          </w:p>
        </w:tc>
        <w:tc>
          <w:tcPr>
            <w:tcW w:type="dxa" w:w="2493"/>
          </w:tcPr>
          <w:p>
            <w:r>
              <w:t>См. п. 4 ТЗ: атлас, эксперименты, ПО, публикации, диссертация</w:t>
            </w:r>
          </w:p>
        </w:tc>
        <w:tc>
          <w:tcPr>
            <w:tcW w:type="dxa" w:w="2493"/>
          </w:tcPr>
          <w:p>
            <w:r>
              <w:t>Заключительный отчёт о НИР</w:t>
            </w:r>
          </w:p>
        </w:tc>
      </w:tr>
    </w:tbl>
    <w:p>
      <w:r>
        <w:br w:type="page"/>
      </w:r>
    </w:p>
    <w:p>
      <w:pPr>
        <w:pStyle w:val="Title"/>
      </w:pPr>
      <w:r>
        <w:t>Приложение № 4. Значения результатов предоставления субсидии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№ п/п</w:t>
            </w:r>
          </w:p>
        </w:tc>
        <w:tc>
          <w:tcPr>
            <w:tcW w:type="dxa" w:w="1995"/>
          </w:tcPr>
          <w:p>
            <w:r>
              <w:t>Наименование показателя</w:t>
            </w:r>
          </w:p>
        </w:tc>
        <w:tc>
          <w:tcPr>
            <w:tcW w:type="dxa" w:w="1995"/>
          </w:tcPr>
          <w:p>
            <w:r>
              <w:t>Единица по ОКЕИ</w:t>
            </w:r>
          </w:p>
        </w:tc>
        <w:tc>
          <w:tcPr>
            <w:tcW w:type="dxa" w:w="1995"/>
          </w:tcPr>
          <w:p>
            <w:r>
              <w:t>2027 год</w:t>
            </w:r>
          </w:p>
        </w:tc>
        <w:tc>
          <w:tcPr>
            <w:tcW w:type="dxa" w:w="1995"/>
          </w:tcPr>
          <w:p>
            <w:r>
              <w:t>2028 год</w:t>
            </w:r>
          </w:p>
        </w:tc>
      </w:tr>
      <w:tr>
        <w:tc>
          <w:tcPr>
            <w:tcW w:type="dxa" w:w="1995"/>
          </w:tcPr>
          <w:p>
            <w:r>
              <w:t>1</w:t>
            </w:r>
          </w:p>
        </w:tc>
        <w:tc>
          <w:tcPr>
            <w:tcW w:type="dxa" w:w="1995"/>
          </w:tcPr>
          <w:p>
            <w:r>
              <w:t>Количество статей по тематике проекта в научных изданиях первого и второго уровней «Белого списка»</w:t>
            </w:r>
          </w:p>
        </w:tc>
        <w:tc>
          <w:tcPr>
            <w:tcW w:type="dxa" w:w="1995"/>
          </w:tcPr>
          <w:p>
            <w:r>
              <w:t>Единица</w:t>
            </w:r>
          </w:p>
        </w:tc>
        <w:tc>
          <w:tcPr>
            <w:tcW w:type="dxa" w:w="1995"/>
          </w:tcPr>
          <w:p>
            <w:r>
              <w:t>1</w:t>
            </w:r>
          </w:p>
        </w:tc>
        <w:tc>
          <w:tcPr>
            <w:tcW w:type="dxa" w:w="1995"/>
          </w:tcPr>
          <w:p>
            <w:r>
              <w:t>2</w:t>
            </w:r>
          </w:p>
        </w:tc>
      </w:tr>
      <w:tr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Количество представленных к защите диссертаций к.н. и д.н.</w:t>
            </w:r>
          </w:p>
        </w:tc>
        <w:tc>
          <w:tcPr>
            <w:tcW w:type="dxa" w:w="1995"/>
          </w:tcPr>
          <w:p>
            <w:r>
              <w:t>Единица</w:t>
            </w:r>
          </w:p>
        </w:tc>
        <w:tc>
          <w:tcPr>
            <w:tcW w:type="dxa" w:w="1995"/>
          </w:tcPr>
          <w:p>
            <w:r>
              <w:t>0</w:t>
            </w:r>
          </w:p>
        </w:tc>
        <w:tc>
          <w:tcPr>
            <w:tcW w:type="dxa" w:w="1995"/>
          </w:tcPr>
          <w:p>
            <w:r>
              <w:t>1</w:t>
            </w:r>
          </w:p>
        </w:tc>
      </w:tr>
      <w:tr>
        <w:tc>
          <w:tcPr>
            <w:tcW w:type="dxa" w:w="1995"/>
          </w:tcPr>
          <w:p>
            <w:r>
              <w:t>3</w:t>
            </w:r>
          </w:p>
        </w:tc>
        <w:tc>
          <w:tcPr>
            <w:tcW w:type="dxa" w:w="1995"/>
          </w:tcPr>
          <w:p>
            <w:r>
              <w:t>Доля аспирантов и молодых учёных (до 39 лет) в общей численности участников</w:t>
            </w:r>
          </w:p>
        </w:tc>
        <w:tc>
          <w:tcPr>
            <w:tcW w:type="dxa" w:w="1995"/>
          </w:tcPr>
          <w:p>
            <w:r>
              <w:t>%</w:t>
            </w:r>
          </w:p>
        </w:tc>
        <w:tc>
          <w:tcPr>
            <w:tcW w:type="dxa" w:w="1995"/>
          </w:tcPr>
          <w:p>
            <w:r>
              <w:t>[ЗАПОЛНИТЬ]</w:t>
            </w:r>
          </w:p>
        </w:tc>
        <w:tc>
          <w:tcPr>
            <w:tcW w:type="dxa" w:w="1995"/>
          </w:tcPr>
          <w:p>
            <w:r>
              <w:t>[ЗАПОЛНИТЬ]</w:t>
            </w:r>
          </w:p>
        </w:tc>
      </w:tr>
      <w:tr>
        <w:tc>
          <w:tcPr>
            <w:tcW w:type="dxa" w:w="1995"/>
          </w:tcPr>
          <w:p>
            <w:r>
              <w:t>4</w:t>
            </w:r>
          </w:p>
        </w:tc>
        <w:tc>
          <w:tcPr>
            <w:tcW w:type="dxa" w:w="1995"/>
          </w:tcPr>
          <w:p>
            <w:r>
              <w:t>Количество заявок на охранные документы на РИД</w:t>
            </w:r>
          </w:p>
        </w:tc>
        <w:tc>
          <w:tcPr>
            <w:tcW w:type="dxa" w:w="1995"/>
          </w:tcPr>
          <w:p>
            <w:r>
              <w:t>Единица</w:t>
            </w:r>
          </w:p>
        </w:tc>
        <w:tc>
          <w:tcPr>
            <w:tcW w:type="dxa" w:w="1995"/>
          </w:tcPr>
          <w:p>
            <w:r>
              <w:t>0</w:t>
            </w:r>
          </w:p>
        </w:tc>
        <w:tc>
          <w:tcPr>
            <w:tcW w:type="dxa" w:w="1995"/>
          </w:tcPr>
          <w:p>
            <w:r>
              <w:t>0</w:t>
            </w:r>
          </w:p>
        </w:tc>
      </w:tr>
      <w:tr>
        <w:tc>
          <w:tcPr>
            <w:tcW w:type="dxa" w:w="1995"/>
          </w:tcPr>
          <w:p>
            <w:r>
              <w:t>5</w:t>
            </w:r>
          </w:p>
        </w:tc>
        <w:tc>
          <w:tcPr>
            <w:tcW w:type="dxa" w:w="1995"/>
          </w:tcPr>
          <w:p>
            <w:r>
              <w:t>Количество размещённых отчётов в ЕГИСУ НИОКТР</w:t>
            </w:r>
          </w:p>
        </w:tc>
        <w:tc>
          <w:tcPr>
            <w:tcW w:type="dxa" w:w="1995"/>
          </w:tcPr>
          <w:p>
            <w:r>
              <w:t>Единица</w:t>
            </w:r>
          </w:p>
        </w:tc>
        <w:tc>
          <w:tcPr>
            <w:tcW w:type="dxa" w:w="1995"/>
          </w:tcPr>
          <w:p>
            <w:r>
              <w:t>1</w:t>
            </w:r>
          </w:p>
        </w:tc>
        <w:tc>
          <w:tcPr>
            <w:tcW w:type="dxa" w:w="1995"/>
          </w:tcPr>
          <w:p>
            <w:r>
              <w:t>1</w:t>
            </w:r>
          </w:p>
        </w:tc>
      </w:tr>
      <w:tr>
        <w:tc>
          <w:tcPr>
            <w:tcW w:type="dxa" w:w="1995"/>
          </w:tcPr>
          <w:p>
            <w:r>
              <w:t>6</w:t>
            </w:r>
          </w:p>
        </w:tc>
        <w:tc>
          <w:tcPr>
            <w:tcW w:type="dxa" w:w="1995"/>
          </w:tcPr>
          <w:p>
            <w:r>
              <w:t>Количество публикаций Q1–Q2 «Белого списка» и конференций A*</w:t>
            </w:r>
          </w:p>
        </w:tc>
        <w:tc>
          <w:tcPr>
            <w:tcW w:type="dxa" w:w="1995"/>
          </w:tcPr>
          <w:p>
            <w:r>
              <w:t>Единица</w:t>
            </w:r>
          </w:p>
        </w:tc>
        <w:tc>
          <w:tcPr>
            <w:tcW w:type="dxa" w:w="1995"/>
          </w:tcPr>
          <w:p>
            <w:r>
              <w:t>0</w:t>
            </w:r>
          </w:p>
        </w:tc>
        <w:tc>
          <w:tcPr>
            <w:tcW w:type="dxa" w:w="1995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