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Приложение № ___</w:t>
        <w:br/>
        <w:t>к Дополнительному соглашению № ___</w:t>
        <w:br/>
        <w:t>на выполнение научно-исследовательских работ</w:t>
        <w:br/>
        <w:t>от «___» _________ 2027 г.</w:t>
        <w:br/>
        <w:br/>
        <w:t>ТЕХНИЧЕСКОЕ ЗАДАНИЕ на выполнение работ на тему «Установление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обучения» по проекту «Онкотераностика и проблемы резистентности к противоопухолевым и антибактериальным препаратам»</w:t>
      </w:r>
    </w:p>
    <w:p>
      <w:pPr>
        <w:pStyle w:val="Heading2"/>
      </w:pPr>
      <w:r>
        <w:t>1. Тема НИР:</w:t>
      </w:r>
    </w:p>
    <w:p>
      <w:r>
        <w:rPr>
          <w:sz w:val="24"/>
        </w:rPr>
        <w:t>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</w:t>
      </w:r>
    </w:p>
    <w:p>
      <w:pPr>
        <w:pStyle w:val="Heading2"/>
      </w:pPr>
      <w:r>
        <w:t>2. Цель НИР</w:t>
      </w:r>
    </w:p>
    <w:p>
      <w:r>
        <w:rPr>
          <w:sz w:val="24"/>
        </w:rPr>
        <w:t>Целью исследования на этапе 2027–2028 гг. является установление закономерностей регуляции экспрессионного профиля микроРНК и мРНК в различных типах злокачественной трансформации с учётом пространственной организации опухоли и микроокружения, с помощью молекулярно-биологических методов верификации и методов глубинного обучения.</w:t>
      </w:r>
    </w:p>
    <w:p>
      <w:r>
        <w:rPr>
          <w:sz w:val="24"/>
        </w:rPr>
        <w:t>На этапах 2024–2026 гг. (этапы 1–3 действующего технического задания) выполнены и перевыполнены работы по построению моделей глубинного обучения для предсказания экспрессии микроРНК по данным bulk- и scRNA-seq, определению дифференциально экспрессируемых микроРНК в клетках опухоли и микроокружения, анализу путей клеточной гибели и кандидатов для иммунотерапии, частичной экспериментальной верификации. Работы по пространственной транскриптомике, запланированные в п. 3 и на 3-й этап (2026 г.) действующего ТЗ, переносятся на этапы 4–5 (2027–2028 гг.) в связи с необходимостью адаптации моделей к пространственным данным нового поколения и опираются на созданный научно-методический задел (ансамбль моделей с median R² ≈ 0,8 для 159 микроРНК на scRNA-seq; корпус &gt;120 наборов scRNA-seq; публикации и открытые репозитории проекта).</w:t>
      </w:r>
    </w:p>
    <w:p>
      <w:r>
        <w:rPr>
          <w:sz w:val="24"/>
        </w:rPr>
        <w:t>Полученные на этапе 2027–2028 гг. данные позволят расширить знания о молекулярных механизмах онкогенеза в контексте локальных ниш опухоли, стромы и иммунных клеток. Результаты могут быть использованы в диагностике, прогностической stratification и при разработке таргетной терапии.</w:t>
      </w:r>
    </w:p>
    <w:p>
      <w:r>
        <w:rPr>
          <w:sz w:val="24"/>
        </w:rPr>
        <w:t>Научная новизна работ:</w:t>
      </w:r>
    </w:p>
    <w:p>
      <w:r>
        <w:rPr>
          <w:sz w:val="24"/>
        </w:rPr>
        <w:t>Пространственная транскриптомика (Visium и аналогичные платформы) в настоящее время не сопровождается routine-измерением экспрессии микроРНК в каждом spatial spot, тогда как регуляция микроРНК–мРНК зависит от микролокализации в ткани. Планируется впервые в рамках данного проекта систематически предсказать профили микроРНК по пространственным профилям мРНК с использованием доменного переноса с моделей, достигших передового уровня точности на scRNA-seq, и выявить пространственные закономерности активации путей клеточной гибели и микроРНК, ранее описанные на scRNA-seq уровне, в координатах тканевых срезов. Научная новизна также включает интеграцию результатов с анализом тканевой специфичности и потери специфичности при малигнизации для интерпретации spatial-паттернов.</w:t>
      </w:r>
    </w:p>
    <w:p>
      <w:pPr>
        <w:pStyle w:val="Heading2"/>
      </w:pPr>
      <w:r>
        <w:t>3. Задача Исполнителя при выполнении НИР</w:t>
      </w:r>
    </w:p>
    <w:p>
      <w:pPr>
        <w:pStyle w:val="ListBullet"/>
      </w:pPr>
      <w:r>
        <w:rPr>
          <w:sz w:val="24"/>
        </w:rPr>
        <w:t>Разработать и внедрить модели глубинного обучения для предсказания уровня экспрессии микроРНК по данным пространственной транскриптомики опухоли и микроокружения с использованием доменной адаптации от ансамбля моделей, обученных на bulk- и scRNA-seq (в том числе архитектуры TabM, TabPack, градиентный бустинг); протестировать архитектуры, учитывающие пространственную структуру (графовые нейронные сети, пространственные свертки, трансформеры с positional encoding соседства spots).</w:t>
      </w:r>
    </w:p>
    <w:p>
      <w:pPr>
        <w:pStyle w:val="ListBullet"/>
      </w:pPr>
      <w:r>
        <w:rPr>
          <w:sz w:val="24"/>
        </w:rPr>
        <w:t>С помощью разработанных моделей определить дифференциально экспрессируемые (предсказанные) микроРНК в spatial-кластерах, соответствующих клеткам опухоли, иммунным и стромальным компонентам микроокружения; определить клеточные пути, регулируемые микроРНК в каждом пространственном компартменте.</w:t>
      </w:r>
    </w:p>
    <w:p>
      <w:pPr>
        <w:pStyle w:val="ListBullet"/>
      </w:pPr>
      <w:r>
        <w:rPr>
          <w:sz w:val="24"/>
        </w:rPr>
        <w:t>Перенести на данные пространственной транскриптомики анализ активации путей клеточной гибели и микроРНК, выполненный на scRNA-seq на этапах 2024–2026 гг.; определить пространственное расположение подтипов опухолевых зон с разными уровнями активации микроРНК; определить пространственное распределение подтипов опухоли по путям клеточной гибели и активированной/подавленной микроРНК.</w:t>
      </w:r>
    </w:p>
    <w:p>
      <w:pPr>
        <w:pStyle w:val="ListBullet"/>
      </w:pPr>
      <w:r>
        <w:rPr>
          <w:sz w:val="24"/>
        </w:rPr>
        <w:t>По данным пространственной транскриптомики и пространственного распределения путей клеточной гибели и микроРНК определить зоны, соответствующие иммунорезистентному подтипу опухоли; определить активные пары лиганд–рецептор во взаимодействии опухоли с клетками иммунной системы в spatial-контексте, а также микроРНК, ассоциированные с подавлением путей клеточной гибели в опухолевых niches.</w:t>
      </w:r>
    </w:p>
    <w:p>
      <w:pPr>
        <w:pStyle w:val="ListBullet"/>
      </w:pPr>
      <w:r>
        <w:rPr>
          <w:sz w:val="24"/>
        </w:rPr>
        <w:t>Сопоставить spatial-паттерны с закономерностями потери тканевой специфичности микроРНК при злокачественной трансформации (результаты bulk-анализа этапа 2024–2026); выделить микроРНК-кандидаты для иммунотерапии и регуляции апоптоза в локальном микроокружении.</w:t>
      </w:r>
    </w:p>
    <w:p>
      <w:pPr>
        <w:pStyle w:val="ListBullet"/>
      </w:pPr>
      <w:r>
        <w:rPr>
          <w:sz w:val="24"/>
        </w:rPr>
        <w:t>Провести отбор и молекулярно-биологическую верификацию (qRT-PCR, in situ гибридизация микроРНК или эквивалентные методы) для приоритетного набора предсказаний на модельных образцах (включая продолжение экспериментальной линии scRNA-seq почки и расширение на дополнительные типы опухолей при наличии материала).</w:t>
      </w:r>
    </w:p>
    <w:p>
      <w:pPr>
        <w:pStyle w:val="ListBullet"/>
      </w:pPr>
      <w:r>
        <w:rPr>
          <w:sz w:val="24"/>
        </w:rPr>
        <w:t>Обеспечить воспроизводимость: открытая публикация программного комплекса, атласа предсказанных spatial-профилей микроРНК и метаданных анализируемых наборов данных.</w:t>
      </w:r>
    </w:p>
    <w:p>
      <w:pPr>
        <w:pStyle w:val="Heading2"/>
      </w:pPr>
      <w:r>
        <w:t>4. Требования к составу Работ (исследований), выполняемых по проекту</w:t>
      </w:r>
    </w:p>
    <w:p>
      <w:r>
        <w:rPr>
          <w:sz w:val="24"/>
        </w:rPr>
        <w:t>К работам 4 этапа (2027 год):</w:t>
      </w:r>
    </w:p>
    <w:p>
      <w:r>
        <w:rPr>
          <w:sz w:val="24"/>
        </w:rPr>
        <w:t>— Формирование корпуса данных пространственной транскриптомики (не менее 15 публичных и/или "</w:t>
      </w:r>
    </w:p>
    <w:p>
      <w:r>
        <w:rPr>
          <w:sz w:val="24"/>
        </w:rPr>
        <w:t>"совместимых наборов по онкологическим и контрольным образцам), QC, нормализация, построение "</w:t>
      </w:r>
    </w:p>
    <w:p>
      <w:r>
        <w:rPr>
          <w:sz w:val="24"/>
        </w:rPr>
        <w:t>"spatial graphs, интеграция с реестром scRNA-seq проекта.</w:t>
      </w:r>
    </w:p>
    <w:p>
      <w:r>
        <w:rPr>
          <w:sz w:val="24"/>
        </w:rPr>
        <w:t>— Разработка, обучение и валидация моделей предсказания микроРНК для spatial RNA-seq; "</w:t>
      </w:r>
    </w:p>
    <w:p>
      <w:r>
        <w:rPr>
          <w:sz w:val="24"/>
        </w:rPr>
        <w:t>"сравнение с baseline (прямое применение scRNA-модели без spatial-компоненты).</w:t>
      </w:r>
    </w:p>
    <w:p>
      <w:r>
        <w:rPr>
          <w:sz w:val="24"/>
        </w:rPr>
        <w:t>— Пилотный инференс и биологическая интерпретация (не менее 4 типов опухолей): кластеры, "</w:t>
      </w:r>
    </w:p>
    <w:p>
      <w:r>
        <w:rPr>
          <w:sz w:val="24"/>
        </w:rPr>
        <w:t>"niches, границы опухоль–stroma.</w:t>
      </w:r>
    </w:p>
    <w:p>
      <w:r>
        <w:rPr>
          <w:sz w:val="24"/>
        </w:rPr>
        <w:t>— Начало переноса анализа путей клеточной гибели и микроРНК на spatial-данные.</w:t>
      </w:r>
    </w:p>
    <w:p>
      <w:r>
        <w:rPr>
          <w:sz w:val="24"/>
        </w:rPr>
        <w:t>— Подготовка текста публикации для подачи в рецензируемый журнал 1-го и/или 2-го уровня "</w:t>
      </w:r>
    </w:p>
    <w:p>
      <w:r>
        <w:rPr>
          <w:sz w:val="24"/>
        </w:rPr>
        <w:t>"«Белого списка»; промежуточный отчёт о НИР; размещение отчёта в ЕГИСУ НИОКТР.</w:t>
      </w:r>
    </w:p>
    <w:p>
      <w:r>
        <w:rPr>
          <w:sz w:val="24"/>
        </w:rPr>
        <w:t>К работам 5 этапа (2028 год):</w:t>
      </w:r>
    </w:p>
    <w:p>
      <w:r>
        <w:rPr>
          <w:sz w:val="24"/>
        </w:rPr>
        <w:t>— Масштабный инференс предсказанных профилей микроРНК на расширенном корпусе spatial-данных "</w:t>
      </w:r>
    </w:p>
    <w:p>
      <w:r>
        <w:rPr>
          <w:sz w:val="24"/>
        </w:rPr>
        <w:t>"(целевой охват — не менее 25 наборов).</w:t>
      </w:r>
    </w:p>
    <w:p>
      <w:r>
        <w:rPr>
          <w:sz w:val="24"/>
        </w:rPr>
        <w:t>— Построение пространственного атласа закономерностей регуляции микроРНК–мРНК; определение "</w:t>
      </w:r>
    </w:p>
    <w:p>
      <w:r>
        <w:rPr>
          <w:sz w:val="24"/>
        </w:rPr>
        <w:t>"пространственного расположения подтипов с разной активацией микроРНК и путей клеточной "</w:t>
      </w:r>
    </w:p>
    <w:p>
      <w:r>
        <w:rPr>
          <w:sz w:val="24"/>
        </w:rPr>
        <w:t>"гибели; характеристика иммунорезистентных spatial-зон и лиганд–рецепторных взаимодействий.</w:t>
      </w:r>
    </w:p>
    <w:p>
      <w:r>
        <w:rPr>
          <w:sz w:val="24"/>
        </w:rPr>
        <w:t>— Молекулярно-биологическая верификация отобранных микроРНК; отбор кандидатов для "</w:t>
      </w:r>
    </w:p>
    <w:p>
      <w:r>
        <w:rPr>
          <w:sz w:val="24"/>
        </w:rPr>
        <w:t>"экспериментальной проверки запуска клеточной гибели в иммунорезистентных spatial-подтипах.</w:t>
      </w:r>
    </w:p>
    <w:p>
      <w:r>
        <w:rPr>
          <w:sz w:val="24"/>
        </w:rPr>
        <w:t>— Подготовка не менее двух текстов публикаций для журналов «Белого списка» 1–2 уровня "</w:t>
      </w:r>
    </w:p>
    <w:p>
      <w:r>
        <w:rPr>
          <w:sz w:val="24"/>
        </w:rPr>
        <w:t>"(в том числе по методам и по биологической интерпретации); представление к защите одной "</w:t>
      </w:r>
    </w:p>
    <w:p>
      <w:r>
        <w:rPr>
          <w:sz w:val="24"/>
        </w:rPr>
        <w:t>"диссертации на соискание ученой степени кандидата наук по результатам исследования.</w:t>
      </w:r>
    </w:p>
    <w:p>
      <w:r>
        <w:rPr>
          <w:sz w:val="24"/>
        </w:rPr>
        <w:t>— Заключительный отчёт о НИР; финализация и публикация программного комплекса на GitHub; "</w:t>
      </w:r>
    </w:p>
    <w:p>
      <w:r>
        <w:rPr>
          <w:sz w:val="24"/>
        </w:rPr>
        <w:t>"размещение отчёта в ЕГИСУ НИОКТР.</w:t>
      </w:r>
    </w:p>
    <w:p>
      <w:pPr>
        <w:pStyle w:val="Heading2"/>
      </w:pPr>
      <w:r>
        <w:t>5. Требования к выполняемым Работам</w:t>
      </w:r>
    </w:p>
    <w:p>
      <w:r>
        <w:rPr>
          <w:sz w:val="24"/>
        </w:rPr>
        <w:t>К работам 4 этапа (2027 год):</w:t>
      </w:r>
    </w:p>
    <w:p>
      <w:r>
        <w:rPr>
          <w:sz w:val="24"/>
        </w:rPr>
        <w:t>Должны быть получены прототип модели глубинного обучения для предсказания уровней экспрессии "</w:t>
      </w:r>
    </w:p>
    <w:p>
      <w:r>
        <w:rPr>
          <w:sz w:val="24"/>
        </w:rPr>
        <w:t>"микроРНК на данных пространственной транскриптомики; документированы метрики качества "</w:t>
      </w:r>
    </w:p>
    <w:p>
      <w:r>
        <w:rPr>
          <w:sz w:val="24"/>
        </w:rPr>
        <w:t>"(R², PCC) на независимых типах тканей/опухолей; выполнен пилотный spatial-инференс с "</w:t>
      </w:r>
    </w:p>
    <w:p>
      <w:r>
        <w:rPr>
          <w:sz w:val="24"/>
        </w:rPr>
        <w:t>"картированием компартментов опухоли и микроокружения; подготовлен промежуточный отчёт и "</w:t>
      </w:r>
    </w:p>
    <w:p>
      <w:r>
        <w:rPr>
          <w:sz w:val="24"/>
        </w:rPr>
        <w:t>"материалы не менее одной статьи.</w:t>
      </w:r>
    </w:p>
    <w:p>
      <w:r>
        <w:rPr>
          <w:sz w:val="24"/>
        </w:rPr>
        <w:t>К работам 5 этапа (2028 год):</w:t>
      </w:r>
    </w:p>
    <w:p>
      <w:r>
        <w:rPr>
          <w:sz w:val="24"/>
        </w:rPr>
        <w:t>Должны быть предсказаны уровни экспрессии микроРНК для данных пространственной "</w:t>
      </w:r>
    </w:p>
    <w:p>
      <w:r>
        <w:rPr>
          <w:sz w:val="24"/>
        </w:rPr>
        <w:t>"транскриптомики опухоли и микроокружения в масштабе, достаточном для построения атласа; "</w:t>
      </w:r>
    </w:p>
    <w:p>
      <w:r>
        <w:rPr>
          <w:sz w:val="24"/>
        </w:rPr>
        <w:t>"должны быть определены пространственное расположение подтипов опухолевых клеток/зон с "</w:t>
      </w:r>
    </w:p>
    <w:p>
      <w:r>
        <w:rPr>
          <w:sz w:val="24"/>
        </w:rPr>
        <w:t>"разными уровнями активации микроРНК и пространственное распределение подтипов по путям "</w:t>
      </w:r>
    </w:p>
    <w:p>
      <w:r>
        <w:rPr>
          <w:sz w:val="24"/>
        </w:rPr>
        <w:t>"клеточной гибели; должны быть охарактеризованы иммунорезистентные spatial-подтипы, "</w:t>
      </w:r>
    </w:p>
    <w:p>
      <w:r>
        <w:rPr>
          <w:sz w:val="24"/>
        </w:rPr>
        <w:t>"лиганд–рецепторные пары и микроРНК, связанные с подавлением апоптоза; должна быть "</w:t>
      </w:r>
    </w:p>
    <w:p>
      <w:r>
        <w:rPr>
          <w:sz w:val="24"/>
        </w:rPr>
        <w:t>"проведена экспериментальная верификация части предсказаний; представлен заключительный "</w:t>
      </w:r>
    </w:p>
    <w:p>
      <w:r>
        <w:rPr>
          <w:sz w:val="24"/>
        </w:rPr>
        <w:t>"отчёт и комплект публикаций согласно календарному плану.</w:t>
      </w:r>
    </w:p>
    <w:p>
      <w:pPr>
        <w:pStyle w:val="Heading2"/>
      </w:pPr>
      <w:r>
        <w:t>6. Требования к разрабатываемой документации</w:t>
      </w:r>
    </w:p>
    <w:p>
      <w:r>
        <w:rPr>
          <w:sz w:val="24"/>
        </w:rPr>
        <w:t>Промежуточный (2027 г.) и заключительный (2028 г.) отчёты о выполненных научно-исследовательских "</w:t>
      </w:r>
    </w:p>
    <w:p>
      <w:r>
        <w:rPr>
          <w:sz w:val="24"/>
        </w:rPr>
        <w:t>"работах, подтверждающие выполнение требований пп. 4–5 настоящего Технического задания, "</w:t>
      </w:r>
    </w:p>
    <w:p>
      <w:r>
        <w:rPr>
          <w:sz w:val="24"/>
        </w:rPr>
        <w:t>"оформленные в соответствии с ГОСТ 7.32-2017 «Система стандартов по информации, библиотечному "</w:t>
      </w:r>
    </w:p>
    <w:p>
      <w:r>
        <w:rPr>
          <w:sz w:val="24"/>
        </w:rPr>
        <w:t>"и издательскому делу. Отчёт о научно-исследовательской работе. Структура и правила оформления»; "</w:t>
      </w:r>
    </w:p>
    <w:p>
      <w:r>
        <w:rPr>
          <w:sz w:val="24"/>
        </w:rPr>
        <w:t>"тексты публикаций; техническая документация к программному комплексу; протоколы "</w:t>
      </w:r>
    </w:p>
    <w:p>
      <w:r>
        <w:rPr>
          <w:sz w:val="24"/>
        </w:rPr>
        <w:t>"лабораторных исследований (при проведении верификации).</w:t>
      </w:r>
    </w:p>
    <w:p>
      <w:pPr>
        <w:pStyle w:val="Heading2"/>
      </w:pPr>
      <w:r>
        <w:t>7. Сроки и порядок предоставления отчетных документов</w:t>
      </w:r>
    </w:p>
    <w:p>
      <w:r>
        <w:rPr>
          <w:sz w:val="24"/>
        </w:rPr>
        <w:t>Отчёт о работах, выполненный в соответствии с ГОСТ Р 7.32-2017, подписанный уполномоченными "</w:t>
      </w:r>
    </w:p>
    <w:p>
      <w:r>
        <w:rPr>
          <w:sz w:val="24"/>
        </w:rPr>
        <w:t>"лицами организации-исполнителя, содержащий результаты, предоставляется в электронном виде "</w:t>
      </w:r>
    </w:p>
    <w:p>
      <w:r>
        <w:rPr>
          <w:sz w:val="24"/>
        </w:rPr>
        <w:t>"в формате .pdf путём направления на адрес, указанный в дополнительном соглашении, а также "</w:t>
      </w:r>
    </w:p>
    <w:p>
      <w:r>
        <w:rPr>
          <w:sz w:val="24"/>
        </w:rPr>
        <w:t>"на бумажных носителях (оригиналах) в количестве, установленном соглашением.</w:t>
      </w:r>
    </w:p>
    <w:p>
      <w:r>
        <w:rPr>
          <w:sz w:val="24"/>
        </w:rPr>
        <w:t>[ЗАПОЛНИТЬ: при сохранении формулировок из договора 2024 г. — домены e-mail, число экземпляров, "</w:t>
      </w:r>
    </w:p>
    <w:p>
      <w:r>
        <w:rPr>
          <w:sz w:val="24"/>
        </w:rPr>
        <w:t>"реквизиты получателя.]</w:t>
      </w:r>
    </w:p>
    <w:p>
      <w:pPr>
        <w:pStyle w:val="Heading2"/>
      </w:pPr>
      <w:r>
        <w:t>8. Календарный план выполнения Работ</w:t>
      </w:r>
    </w:p>
    <w:p>
      <w:r>
        <w:rPr>
          <w:sz w:val="24"/>
        </w:rPr>
        <w:t>Перечисленные ниже этапы 4–5 являются продолжением работ по действующему Техническому заданию (этапы 1–3, 2024–2026 гг.). Работы этапов 1–3 по предсказанию микроРНК на scRNA-seq, анализу путей клеточной гибели и иммунотерапевтических кандидатов выполнены досрочно и с показателями, превышающими минимальные требования; работы по пространственной транскриптомике перенесены на этапы 4–5.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 этапа</w:t>
            </w:r>
          </w:p>
        </w:tc>
        <w:tc>
          <w:tcPr>
            <w:tcW w:type="dxa" w:w="2493"/>
          </w:tcPr>
          <w:p>
            <w:r>
              <w:t>Наименование этапа / наименование результата</w:t>
            </w:r>
          </w:p>
        </w:tc>
        <w:tc>
          <w:tcPr>
            <w:tcW w:type="dxa" w:w="2493"/>
          </w:tcPr>
          <w:p>
            <w:r>
              <w:t>Отчетные документы</w:t>
            </w:r>
          </w:p>
        </w:tc>
        <w:tc>
          <w:tcPr>
            <w:tcW w:type="dxa" w:w="2493"/>
          </w:tcPr>
          <w:p>
            <w:r>
              <w:t>Продолжительность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обучения. Этап 4 (пространственная транскриптомика: модели, пилотный инференс)</w:t>
            </w:r>
          </w:p>
        </w:tc>
        <w:tc>
          <w:tcPr>
            <w:tcW w:type="dxa" w:w="2493"/>
          </w:tcPr>
          <w:p>
            <w:r>
              <w:t>Отчёт о НИР по ГОСТ 7.32-2017 (промежуточный).</w:t>
              <w:br/>
              <w:t>Текст публикации для подачи в рецензируемый журнал 1-го и/или 2-го уровня «Белого списка».</w:t>
              <w:br/>
              <w:t>Отчёт в ЕГИСУ НИОКТР.</w:t>
            </w:r>
          </w:p>
        </w:tc>
        <w:tc>
          <w:tcPr>
            <w:tcW w:type="dxa" w:w="2493"/>
          </w:tcPr>
          <w:p>
            <w:r>
              <w:t>С даты заключения дополнительного соглашения по 31.12.2027 г.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обучения. Этап 5 (атлас spatial miRNA–mRNA, верификация, обобщение)</w:t>
            </w:r>
          </w:p>
        </w:tc>
        <w:tc>
          <w:tcPr>
            <w:tcW w:type="dxa" w:w="2493"/>
          </w:tcPr>
          <w:p>
            <w:r>
              <w:t>Отчёт о НИР по ГОСТ 7.32-2017 (заключительный).</w:t>
              <w:br/>
              <w:t>Тексты публикаций для подачи в рецензируемые журналы 1-го и/или 2-го уровня «Белого списка».</w:t>
              <w:br/>
              <w:t>Отчёт в ЕГИСУ НИОКТР.</w:t>
              <w:br/>
              <w:t>Диссертация на соискание ученой степени кандидата наук (представление к защите).</w:t>
            </w:r>
          </w:p>
        </w:tc>
        <w:tc>
          <w:tcPr>
            <w:tcW w:type="dxa" w:w="2493"/>
          </w:tcPr>
          <w:p>
            <w:r>
              <w:t>С 01.01.2028 г. по 31.12.2028 г.</w:t>
            </w:r>
          </w:p>
        </w:tc>
      </w:tr>
    </w:tbl>
    <w:p/>
    <w:p>
      <w:r>
        <w:t>Руководитель проекта</w:t>
        <w:tab/>
        <w:tab/>
        <w:tab/>
        <w:t>___________________</w:t>
      </w:r>
    </w:p>
    <w:p>
      <w:r>
        <w:t>Заведующий лабораторией</w:t>
        <w:tab/>
        <w:tab/>
        <w:t>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