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6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LLMs recover expert-curated analyses and identify relevant contrast assignments.</w:t>
      </w:r>
      <w:r>
        <w:t xml:space="preserve"> </w:t>
      </w:r>
      <w:r>
        <w:rPr>
          <w:bCs/>
          <w:b/>
        </w:rPr>
        <w:t xml:space="preserve">a</w:t>
      </w:r>
      <w:r>
        <w:t xml:space="preserve">, LLM-based parsing recovered a mean of 91.4% of expert-curated analyses (filled markers),</w:t>
      </w:r>
      <w:r>
        <w:t xml:space="preserve"> </w:t>
      </w:r>
      <w:r>
        <w:t xml:space="preserve">compared with 33.3% when each coordinate table was treated as a single analysis (open markers);</w:t>
      </w:r>
      <w:r>
        <w:t xml:space="preserve"> </w:t>
      </w:r>
      <w:r>
        <w:t xml:space="preserve">colour identifies the project, and marker fill encodes the method, so the comparison holds in</w:t>
      </w:r>
      <w:r>
        <w:t xml:space="preserve"> </w:t>
      </w:r>
      <w:r>
        <w:t xml:space="preserve">greyscale and under colour-vision deficiency. In seven of nine projects the single-analysis-per-</w:t>
      </w:r>
      <w:r>
        <w:t xml:space="preserve"> </w:t>
      </w:r>
      <w:r>
        <w:t xml:space="preserve">table baseline regroups the same extracted coordinates, holding extraction fixed so that only the</w:t>
      </w:r>
      <w:r>
        <w:t xml:space="preserve"> </w:t>
      </w:r>
      <w:r>
        <w:t xml:space="preserve">grouping differs. Automatically extracted and expert-curated analyses were matched using optimal</w:t>
      </w:r>
      <w:r>
        <w:t xml:space="preserve"> </w:t>
      </w:r>
      <w:r>
        <w:t xml:space="preserve">one-to-one assignment based on coordinate and label similarity (Methods). Parsing was scored on</w:t>
      </w:r>
      <w:r>
        <w:t xml:space="preserve"> </w:t>
      </w:r>
      <w:r>
        <w:t xml:space="preserve">the 663 of 1,047 expert-included articles (63%) that yielded at least one automatically extracted</w:t>
      </w:r>
      <w:r>
        <w:t xml:space="preserve"> </w:t>
      </w:r>
      <w:r>
        <w:t xml:space="preserve">analysis; post-hoc review of the remainder identified absence of coordinate data from the main</w:t>
      </w:r>
      <w:r>
        <w:t xml:space="preserve"> </w:t>
      </w:r>
      <w:r>
        <w:t xml:space="preserve">text — most often results reported only in supplementary tables — as the single largest cause of</w:t>
      </w:r>
      <w:r>
        <w:t xml:space="preserve"> </w:t>
      </w:r>
      <w:r>
        <w:t xml:space="preserve">extraction failure.</w:t>
      </w:r>
      <w:r>
        <w:t xml:space="preserve"> </w:t>
      </w:r>
      <w:r>
        <w:rPr>
          <w:bCs/>
          <w:b/>
        </w:rPr>
        <w:t xml:space="preserve">b</w:t>
      </w:r>
      <w:r>
        <w:t xml:space="preserve">, True-positive rate (recall) against false-positive rate for</w:t>
      </w:r>
      <w:r>
        <w:t xml:space="preserve"> </w:t>
      </w:r>
      <w:r>
        <w:t xml:space="preserve">analysis-to-contrast assignments, across nine projects and 32 target contrasts. Filled markers</w:t>
      </w:r>
      <w:r>
        <w:t xml:space="preserve"> </w:t>
      </w:r>
      <w:r>
        <w:t xml:space="preserve">represent individual projects, all of which performed above the chance diagonal (mean</w:t>
      </w:r>
      <w:r>
        <w:t xml:space="preserve"> </w:t>
      </w:r>
      <w:r>
        <w:t xml:space="preserve">TPR − FPR 0.68). The diagonal indicates equal true-positive and false-positive rates under random</w:t>
      </w:r>
      <w:r>
        <w:t xml:space="preserve"> </w:t>
      </w:r>
      <w:r>
        <w:t xml:space="preserve">selection. Open markers show the expected performance of uniformly selecting the same number of</w:t>
      </w:r>
      <w:r>
        <w:t xml:space="preserve"> </w:t>
      </w:r>
      <w:r>
        <w:t xml:space="preserve">candidate assignments as AutoNIMA, which lies on the diagonal at that project’s prevalence. Note</w:t>
      </w:r>
      <w:r>
        <w:t xml:space="preserve"> </w:t>
      </w:r>
      <w:r>
        <w:t xml:space="preserve">that the unit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analysis-to-contrast assignment rather than the analysis, since one</w:t>
      </w:r>
      <w:r>
        <w:t xml:space="preserve"> </w:t>
      </w:r>
      <w:r>
        <w:t xml:space="preserve">analysis 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target contrasts, all from the same pipeline run: a search-only baseline; an</w:t>
      </w:r>
      <w:r>
        <w:t xml:space="preserve"> </w:t>
      </w:r>
      <w:r>
        <w:t xml:space="preserve">article-screening-only arm, which applies article-level eligibility criteria and then pools every</w:t>
      </w:r>
      <w:r>
        <w:t xml:space="preserve"> </w:t>
      </w:r>
      <w:r>
        <w:t xml:space="preserve">parsed analysis from the retained articles; and the full pipeline, which additionally selects</w:t>
      </w:r>
      <w:r>
        <w:t xml:space="preserve"> </w:t>
      </w:r>
      <w:r>
        <w:t xml:space="preserve">analyses against contrast-specific criteria.</w:t>
      </w:r>
      <w:r>
        <w:t xml:space="preserve"> </w:t>
      </w:r>
      <w:r>
        <w:rPr>
          <w:bCs/>
          <w:b/>
        </w:rPr>
        <w:t xml:space="preserve">a</w:t>
      </w:r>
      <w:r>
        <w:t xml:space="preserve">, Article screening against the search-only</w:t>
      </w:r>
      <w:r>
        <w:t xml:space="preserve"> </w:t>
      </w:r>
      <w:r>
        <w:t xml:space="preserve">baseline, isolating the contribution of selecting articles.</w:t>
      </w:r>
      <w:r>
        <w:t xml:space="preserve"> </w:t>
      </w:r>
      <w:r>
        <w:rPr>
          <w:bCs/>
          <w:b/>
        </w:rPr>
        <w:t xml:space="preserve">b</w:t>
      </w:r>
      <w:r>
        <w:t xml:space="preserve">, The full pipeline against</w:t>
      </w:r>
      <w:r>
        <w:t xml:space="preserve"> </w:t>
      </w:r>
      <w:r>
        <w:t xml:space="preserve">article screening alone, isolating the contribution of selecting analyses within them. Each</w:t>
      </w:r>
      <w:r>
        <w:t xml:space="preserve"> </w:t>
      </w:r>
      <w:r>
        <w:t xml:space="preserve">marker is one target contrast and colour identifies the project; markers above the identity line</w:t>
      </w:r>
      <w:r>
        <w:t xml:space="preserve"> </w:t>
      </w:r>
      <w:r>
        <w:t xml:space="preserve">are contrasts where that step improved correspondence with the reference map. Mean gains are</w:t>
      </w:r>
      <w:r>
        <w:t xml:space="preserve"> </w:t>
      </w:r>
      <w:r>
        <w:t xml:space="preserve">additive and sum to the total margin in Fig. 4 — +0.005 from article selection, +0.109 from</w:t>
      </w:r>
      <w:r>
        <w:t xml:space="preserve"> </w:t>
      </w:r>
      <w:r>
        <w:t xml:space="preserve">analysis selection, +0.114 in total — so 96% of the advantage is attributable to selection within</w:t>
      </w:r>
      <w:r>
        <w:t xml:space="preserve"> </w:t>
      </w:r>
      <w:r>
        <w:t xml:space="preserve">articles.</w:t>
      </w:r>
    </w:p>
    <w:bookmarkStart w:id="42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2"/>
    <w:bookmarkStart w:id="43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3"/>
    <w:bookmarkStart w:id="44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4"/>
    <w:bookmarkStart w:id="45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caffolding-delete-before-submission"/>
    <w:p>
      <w:pPr>
        <w:pStyle w:val="Heading1"/>
      </w:pPr>
      <w:r>
        <w:t xml:space="preserve">SCAFFOLDING — DELETE BEFORE SUBMISSION</w:t>
      </w:r>
    </w:p>
    <w:bookmarkStart w:id="47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7"/>
    <w:bookmarkStart w:id="48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8"/>
    <w:bookmarkStart w:id="49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2026-09-18T20:14:38Z</dcterms:created>
  <dcterms:modified xsi:type="dcterms:W3CDTF">2026-09-18T20:14:38Z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