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2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stage. 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</w:t>
      </w:r>
      <w:r>
        <w:t xml:space="preserve"> </w:t>
      </w:r>
      <w:r>
        <w:t xml:space="preserve">line is the cross-project mean. Because availability losses leave the denominator but screening</w:t>
      </w:r>
      <w:r>
        <w:t xml:space="preserve"> </w:t>
      </w:r>
      <w:r>
        <w:t xml:space="preserve">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attributable to eligibility judgements alone.</w:t>
      </w:r>
    </w:p>
    <w:p>
      <w:pPr>
        <w:pStyle w:val="BodyText"/>
      </w:pPr>
      <w:r>
        <w:rPr>
          <w:bCs/>
          <w:b/>
        </w:rPr>
        <w:t xml:space="preserve">Fig. 3 | LLM parsing recovers individual analyses; LLM assignment selects among them.</w:t>
      </w:r>
      <w:r>
        <w:t xml:space="preserve"> </w:t>
      </w:r>
      <w:r>
        <w:rPr>
          <w:bCs/>
          <w:b/>
        </w:rPr>
        <w:t xml:space="preserve">a</w:t>
      </w:r>
      <w:r>
        <w:t xml:space="preserve">, Percentage of expert-curated analyses recovered by LLM parsing (coloured) against treating</w:t>
      </w:r>
      <w:r>
        <w:t xml:space="preserve"> </w:t>
      </w:r>
      <w:r>
        <w:t xml:space="preserve">each coordinate table as a single analysis (grey), for each project. Parsing is scored only on the</w:t>
      </w:r>
      <w:r>
        <w:t xml:space="preserve"> </w:t>
      </w:r>
      <w:r>
        <w:t xml:space="preserve">663 of 1,047 expert-included articles (63%) from which at least one analysis was automatically</w:t>
      </w:r>
      <w:r>
        <w:t xml:space="preserve"> </w:t>
      </w:r>
      <w:r>
        <w:t xml:space="preserve">extracted; articles yielding none are attributable to retrieval or extraction failure rather than</w:t>
      </w:r>
      <w:r>
        <w:t xml:space="preserve"> </w:t>
      </w:r>
      <w:r>
        <w:t xml:space="preserve">mis-parsing and are accounted for in Fig. 2.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Analysis-to-contrast assignment in ROC space.</w:t>
      </w:r>
      <w:r>
        <w:t xml:space="preserve"> </w:t>
      </w:r>
      <w:r>
        <w:t xml:space="preserve">Each filled marker is one project’s operating point; the diagonal is chance, and the open marker</w:t>
      </w:r>
      <w:r>
        <w:t xml:space="preserve"> </w:t>
      </w:r>
      <w:r>
        <w:t xml:space="preserve">on it is that project’s own same-size random selection, which lands at (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) in</w:t>
      </w:r>
      <w:r>
        <w:t xml:space="preserve"> </w:t>
      </w:r>
      <w:r>
        <w:t xml:space="preserve">closed form. The unit is analysis-to-contrast assignments rather than analyses, since one analysis</w:t>
      </w:r>
      <w:r>
        <w:t xml:space="preserve"> </w:t>
      </w:r>
      <w:r>
        <w:t xml:space="preserve">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contrasts, all from the same pipeline run: the search-only baseline; a</w:t>
      </w:r>
      <w:r>
        <w:t xml:space="preserve"> </w:t>
      </w:r>
      <w:r>
        <w:t xml:space="preserve">screening-only arm that applies article-level eligibility criteria and then pools every parsed</w:t>
      </w:r>
      <w:r>
        <w:t xml:space="preserve"> </w:t>
      </w:r>
      <w:r>
        <w:t xml:space="preserve">analysis from the retained articles; and the full pipeline, which additionally selects analyses per</w:t>
      </w:r>
      <w:r>
        <w:t xml:space="preserve"> </w:t>
      </w:r>
      <w:r>
        <w:t xml:space="preserve">contrast. The middle arm isolates the contribution of article screening. Mean gains are additive</w:t>
      </w:r>
      <w:r>
        <w:t xml:space="preserve"> </w:t>
      </w:r>
      <w:r>
        <w:t xml:space="preserve">and sum to the total margin in Fig. 4 (+0.005 from article screening, +0.109 from analysis</w:t>
      </w:r>
      <w:r>
        <w:t xml:space="preserve"> </w:t>
      </w:r>
      <w:r>
        <w:t xml:space="preserve">selection, +0.114 in total), so 96% of the advantage is attributable to selection within articles.</w:t>
      </w:r>
    </w:p>
    <w:bookmarkEnd w:id="42"/>
    <w:bookmarkStart w:id="47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--only S4</w:t>
      </w:r>
      <w:r>
        <w:t xml:space="preserve">; shells out to</w:t>
      </w:r>
      <w:r>
        <w:t xml:space="preserve"> </w:t>
      </w:r>
      <w:r>
        <w:rPr>
          <w:rStyle w:val="VerbatimChar"/>
        </w:rPr>
        <w:t xml:space="preserve">scripts/make_brain_map_figure.py</w:t>
      </w:r>
      <w:r>
        <w:t xml:space="preserve"> </w:t>
      </w:r>
      <w:r>
        <w:t xml:space="preserve">under system python3 and takes ~2 min, so a full</w:t>
      </w:r>
      <w:r>
        <w:t xml:space="preserve"> </w:t>
      </w:r>
      <w:r>
        <w:t xml:space="preserve">figure rebuild reports it and skips it)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3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difference.</w:t>
      </w:r>
      <w:r>
        <w:t xml:space="preserve"> </w:t>
      </w:r>
      <w:r>
        <w:rPr>
          <w:bCs/>
          <w:b/>
        </w:rPr>
        <w:t xml:space="preserve">Both segments</w:t>
      </w:r>
      <w:r>
        <w:rPr>
          <w:bCs/>
          <w:b/>
        </w:rPr>
        <w:t xml:space="preserve"> </w:t>
      </w:r>
      <w:r>
        <w:rPr>
          <w:bCs/>
          <w:b/>
        </w:rPr>
        <w:t xml:space="preserve">rest on two projects only</w:t>
      </w:r>
      <w:r>
        <w:t xml:space="preserve">, since the other seven resolve to the same run at more than one tier;</w:t>
      </w:r>
      <w:r>
        <w:t xml:space="preserve"> </w:t>
      </w:r>
      <w:r>
        <w:t xml:space="preserve">these are indications of direction, not estimates of effect size. The practical reading is that</w:t>
      </w:r>
      <w:r>
        <w:t xml:space="preserve"> </w:t>
      </w:r>
      <w:r>
        <w:t xml:space="preserve">the live risk in LLM-assisted screening is mis-specifying the criteria, 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3"/>
    <w:bookmarkStart w:id="44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4"/>
    <w:bookmarkStart w:id="45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5"/>
    <w:bookmarkStart w:id="46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caffolding-delete-before-submission"/>
    <w:p>
      <w:pPr>
        <w:pStyle w:val="Heading1"/>
      </w:pPr>
      <w:r>
        <w:t xml:space="preserve">SCAFFOLDING — DELETE BEFORE SUBMISSION</w:t>
      </w:r>
    </w:p>
    <w:bookmarkStart w:id="48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8"/>
    <w:bookmarkStart w:id="49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9"/>
    <w:bookmarkStart w:id="50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2026-09-18T19:43:20Z</dcterms:created>
  <dcterms:modified xsi:type="dcterms:W3CDTF">2026-09-18T19:43:20Z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