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automated</w:t>
      </w:r>
      <w:r>
        <w:t xml:space="preserve"> </w:t>
      </w:r>
      <w:r>
        <w:t xml:space="preserve">meta-analysis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unit</w:t>
      </w:r>
      <w:r>
        <w:t xml:space="preserve"> </w:t>
      </w:r>
      <w:r>
        <w:t xml:space="preserve">that</w:t>
      </w:r>
      <w:r>
        <w:t xml:space="preserve"> </w:t>
      </w:r>
      <w:r>
        <w:t xml:space="preserve">determines</w:t>
      </w:r>
      <w:r>
        <w:t xml:space="preserve"> </w:t>
      </w:r>
      <w:r>
        <w:t xml:space="preserve">the</w:t>
      </w:r>
      <w:r>
        <w:t xml:space="preserve"> </w:t>
      </w:r>
      <w:r>
        <w:t xml:space="preserve">result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Author"/>
      </w:pPr>
      <w:r>
        <w:t xml:space="preserve">Alejandro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Vega</w:t>
      </w:r>
    </w:p>
    <w:p>
      <w:pPr>
        <w:pStyle w:val="Author"/>
      </w:pPr>
      <w:r>
        <w:t xml:space="preserve">[co-authors]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skeleton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projects, 32 benchmark columns; pipeline r² 0.575 vs 0.476 for the strongest per-column</w:t>
      </w:r>
      <w:r>
        <w:t xml:space="preserve"> </w:t>
      </w:r>
      <w:r>
        <w:t xml:space="preserve">baseline, median Δ +0.061, ahead in 28/32, sign-test p = 1.9 × 10⁻⁵.</w:t>
      </w:r>
      <w:r>
        <w:t xml:space="preserve"> </w:t>
      </w:r>
      <w:r>
        <w:t xml:space="preserve">The decomposition is the finding: choosing papers is worth +0.001 (median, 16/32); choosing</w:t>
      </w:r>
      <w:r>
        <w:t xml:space="preserve"> </w:t>
      </w:r>
      <w:r>
        <w:t xml:space="preserve">analyses is worth +0.049 (28/32).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abstract cannot be finalised until §9 (the forward-looking case) is settled,</w:t>
      </w:r>
      <w:r>
        <w:t xml:space="preserve"> </w:t>
      </w:r>
      <w:r>
        <w:t xml:space="preserve">since it decides whether the last sentence promises a demonstration or a direction.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1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1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2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Figure 1 does not exist yet.</w:t>
      </w:r>
      <w:r>
        <w:t xml:space="preserve"> </w:t>
      </w:r>
      <w:r>
        <w:t xml:space="preserve">It is a schematic and needs a vector editor;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 </w:t>
      </w:r>
      <w:r>
        <w:t xml:space="preserve">does not generate it.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3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3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3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3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4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5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5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5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precision mean 0.571 against a prevalence (no-skill) mean of 0.197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lift over prevalence mean 3.1×</w:t>
      </w:r>
      <w:r>
        <w:t xml:space="preserve">, range 1.8–5.6</w:t>
      </w:r>
    </w:p>
    <w:p>
      <w:pPr>
        <w:numPr>
          <w:ilvl w:val="0"/>
          <w:numId w:val="1006"/>
        </w:numPr>
        <w:pStyle w:val="Compact"/>
      </w:pPr>
      <w:r>
        <w:t xml:space="preserve">the lift</w:t>
      </w:r>
      <w:r>
        <w:t xml:space="preserve"> </w:t>
      </w:r>
      <w:r>
        <w:rPr>
          <w:iCs/>
          <w:i/>
        </w:rPr>
        <w:t xml:space="preserve">reorders</w:t>
      </w:r>
      <w:r>
        <w:t xml:space="preserve"> </w:t>
      </w:r>
      <w:r>
        <w:t xml:space="preserve">the projects relative to raw precision, which is the reason to plot it: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 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</w:t>
      </w:r>
      <w:r>
        <w:t xml:space="preserve"> </w:t>
      </w:r>
      <w:r>
        <w:t xml:space="preserve">prevalence is the highest in the set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</w:t>
      </w:r>
      <w:r>
        <w:t xml:space="preserve"> </w:t>
      </w:r>
      <w:r>
        <w:t xml:space="preserve">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a prevalence of 0.104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Figure 3b has an alternate rendering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figure3alt_annotation_roc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 3alt</w:t>
      </w:r>
      <w:r>
        <w:t xml:space="preserve">)</w:t>
      </w:r>
      <w:r>
        <w:t xml:space="preserve"> </w:t>
      </w:r>
      <w:r>
        <w:t xml:space="preserve">that replaces nine per-project no-skill levels with one diagonal in ROC space, where the</w:t>
      </w:r>
      <w:r>
        <w:t xml:space="preserve"> </w:t>
      </w:r>
      <w:r>
        <w:t xml:space="preserve">size-matched null is closed-form at (k/N, k/N); mean TPR − FPR =</w:t>
      </w:r>
      <w:r>
        <w:t xml:space="preserve"> </w:t>
      </w:r>
      <w:r>
        <w:rPr>
          <w:bCs/>
          <w:b/>
        </w:rPr>
        <w:t xml:space="preserve">0.68</w:t>
      </w:r>
      <w:r>
        <w:t xml:space="preserve"> </w:t>
      </w:r>
      <w:r>
        <w:t xml:space="preserve">against 0 for chance.</w:t>
      </w:r>
      <w:r>
        <w:t xml:space="preserve"> </w:t>
      </w:r>
      <w:r>
        <w:t xml:space="preserve">It is cleaner but loses the precision-vs-lift reordering above. Pick one.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 32 columns, 9 projects,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[+0.038, +0.181]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[+0.032, +0.176]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27/32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1.9 × 10⁻⁵</w:t>
      </w:r>
      <w:r>
        <w:t xml:space="preserve"> </w:t>
      </w:r>
      <w:r>
        <w:t xml:space="preserve">(best available), 1.1 × 10⁻⁴ (strongest)</w:t>
      </w:r>
    </w:p>
    <w:p>
      <w:pPr>
        <w:numPr>
          <w:ilvl w:val="0"/>
          <w:numId w:val="1007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7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24/32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21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32/32</w:t>
      </w:r>
      <w:r>
        <w:t xml:space="preserve"> </w:t>
      </w:r>
      <w:r>
        <w:t xml:space="preserve">and wins in 28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8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 32 columns, 9 projects, 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28/32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three arms: baseline 0.476 → screening-only 0.476 → pipeline 0.574. The middle arm does not</w:t>
      </w:r>
      <w:r>
        <w:t xml:space="preserve"> </w:t>
      </w:r>
      <w:r>
        <w:t xml:space="preserve">move, which is the whole point</w:t>
      </w:r>
    </w:p>
    <w:p>
      <w:pPr>
        <w:numPr>
          <w:ilvl w:val="0"/>
          <w:numId w:val="1009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+0.211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29/32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0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(+0.001 + 0.049 = +0.050 vs +0.061)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(−0.000 + 0.099 = +0.099). Quote the means when you</w:t>
      </w:r>
      <w:r>
        <w:t xml:space="preserve"> </w:t>
      </w:r>
      <w:r>
        <w:t xml:space="preserve">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1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1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Close on §9</w:t>
      </w:r>
      <w:r>
        <w:t xml:space="preserve">, the forward-looking case.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3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3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3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§9 has no candidate and the outline says it likely gates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PAPER_OUTLINE.md:1444</w:t>
      </w:r>
      <w:r>
        <w:t xml:space="preserve">).</w:t>
      </w:r>
      <w:r>
        <w:t xml:space="preserve"> </w:t>
      </w:r>
      <w:r>
        <w:rPr>
          <w:rStyle w:val="VerbatimChar"/>
        </w:rPr>
        <w:t xml:space="preserve">scz_enigma</w:t>
      </w:r>
      <w:r>
        <w:t xml:space="preserve"> </w:t>
      </w:r>
      <w:r>
        <w:t xml:space="preserve">is the live candidate.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4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4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schematic. b, the unit distinction: one paper, k analyses, one target</w:t>
      </w:r>
      <w:r>
        <w:t xml:space="preserve"> </w:t>
      </w:r>
      <w:r>
        <w:t xml:space="preserve">contrast.</w:t>
      </w:r>
      <w:r>
        <w:t xml:space="preserve"> </w:t>
      </w:r>
      <w:r>
        <w:rPr>
          <w:bCs/>
          <w:b/>
        </w:rPr>
        <w:t xml:space="preserve">Not yet drawn.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the two presentational choices (</w:t>
      </w:r>
      <w:r>
        <w:rPr>
          <w:rStyle w:val="VerbatimChar"/>
        </w:rPr>
        <w:t xml:space="preserve">NATURE_METHODS_SKELETON.md:283</w:t>
      </w:r>
      <w:r>
        <w:t xml:space="preserve">), and in</w:t>
      </w:r>
      <w:r>
        <w:t xml:space="preserve"> </w:t>
      </w:r>
      <w:r>
        <w:t xml:space="preserve">panel b that the connector runs prevalence → achieved precision, so the span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lift.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§9 forward-looking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[need]</w:t>
            </w:r>
            <w:r>
              <w:t xml:space="preserve">, no candidate chosen; the outline says it likely gates submission.</w:t>
            </w:r>
            <w:r>
              <w:t xml:space="preserve"> </w:t>
            </w:r>
            <w:r>
              <w:rPr>
                <w:rStyle w:val="VerbatimChar"/>
              </w:rPr>
              <w:t xml:space="preserve">scz_enigma</w:t>
            </w:r>
            <w:r>
              <w:t xml:space="preserve"> </w:t>
            </w:r>
            <w:r>
              <w:t xml:space="preserve">is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drawn; needs a vector 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PR-space vs ROC-space rendering, undecided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0.575 vs 0.476, median Δ +0.061, 28/32, p = 1.9e-05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 3.3×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hd w:color="auto" w:fill="F7F7F5" w:val="clear"/>
      <w:spacing w:after="0" w:before="0" w:line="240" w:lineRule="auto"/>
      <w:ind w:firstLine="0" w:left="240"/>
    </w:pPr>
    <w:rPr>
      <w:rFonts w:ascii="Calibri" w:cs="Calibri" w:hAnsi="Calibri"/>
      <w:color w:val="4A4A4A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0392B" w:space="8" w:sz="18" w:val="single"/>
      </w:pBdr>
      <w:shd w:color="auto" w:fill="F7F7F5" w:val="clear"/>
      <w:spacing w:after="60" w:before="60" w:line="240" w:lineRule="auto"/>
      <w:ind w:firstLine="0" w:left="240" w:right="120"/>
    </w:pPr>
    <w:rPr>
      <w:rFonts w:ascii="Calibri" w:cs="Calibri" w:hAnsi="Calibri"/>
      <w:color w:val="4A4A4A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automated meta-analysis at the unit that determines the result</dc:title>
  <dc:creator>Alejandro de la Vega; [co-authors]</dc:creator>
  <cp:keywords/>
  <dcterms:created xsi:type="dcterms:W3CDTF">2026-09-10T20:59:29Z</dcterms:created>
  <dcterms:modified xsi:type="dcterms:W3CDTF">2026-09-10T20:59:29Z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skeleton — 2026-09-10</vt:lpwstr>
  </property>
  <property fmtid="{D5CDD505-2E9C-101B-9397-08002B2CF9AE}" pid="3" name="subtitle">
    <vt:lpwstr>Nature Methods — Article. Target 3,000 words, 6 display items, ~50 references.</vt:lpwstr>
  </property>
</Properties>
</file>