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AutoNIMA:</w:t>
      </w:r>
      <w:r>
        <w:t xml:space="preserve"> </w:t>
      </w:r>
      <w:r>
        <w:t xml:space="preserve">a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LLM-automated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0.575 vs 0.476; ahead in 28 of 32,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1.9 × 10⁻⁵), while pooling fewer analyses. Decomposing this advantage, selecting papers</w:t>
      </w:r>
      <w:r>
        <w:t xml:space="preserve"> </w:t>
      </w:r>
      <w:r>
        <w:t xml:space="preserve">contributed almost nothing (median Δ</w:t>
      </w:r>
      <w:r>
        <w:rPr>
          <w:iCs/>
          <w:i/>
        </w:rPr>
        <w:t xml:space="preserve">R</w:t>
      </w:r>
      <w:r>
        <w:t xml:space="preserve">² +0.001) and selecting analyses contributed nearly all of</w:t>
      </w:r>
      <w:r>
        <w:t xml:space="preserve"> </w:t>
      </w:r>
      <w:r>
        <w:t xml:space="preserve">it (+0.049).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projects, 32 benchmark columns; pipeline r² 0.575 vs 0.476 for the strongest per-column</w:t>
      </w:r>
      <w:r>
        <w:t xml:space="preserve"> </w:t>
      </w:r>
      <w:r>
        <w:t xml:space="preserve">baseline, median Δ +0.061, ahead in 28/32, sign-test p = 1.9 × 10⁻⁵.</w:t>
      </w:r>
      <w:r>
        <w:t xml:space="preserve"> </w:t>
      </w:r>
      <w:r>
        <w:t xml:space="preserve">The decomposition is the finding: choosing papers is worth +0.001 (median, 16/32); choosing</w:t>
      </w:r>
      <w:r>
        <w:t xml:space="preserve"> </w:t>
      </w:r>
      <w:r>
        <w:t xml:space="preserve">analyses is worth +0.049 (28/32).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1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1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2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S3),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3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3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3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3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4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5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5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5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precision mean 0.571 against a prevalence (no-skill) mean of 0.197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lift over prevalence mean 3.1×</w:t>
      </w:r>
      <w:r>
        <w:t xml:space="preserve">, range 1.8–5.6</w:t>
      </w:r>
    </w:p>
    <w:p>
      <w:pPr>
        <w:numPr>
          <w:ilvl w:val="0"/>
          <w:numId w:val="1006"/>
        </w:numPr>
        <w:pStyle w:val="Compact"/>
      </w:pPr>
      <w:r>
        <w:t xml:space="preserve">the lift</w:t>
      </w:r>
      <w:r>
        <w:t xml:space="preserve"> </w:t>
      </w:r>
      <w:r>
        <w:rPr>
          <w:iCs/>
          <w:i/>
        </w:rPr>
        <w:t xml:space="preserve">reorders</w:t>
      </w:r>
      <w:r>
        <w:t xml:space="preserve"> </w:t>
      </w:r>
      <w:r>
        <w:t xml:space="preserve">the projects relative to raw precision, which is the reason to plot it: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 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</w:t>
      </w:r>
      <w:r>
        <w:t xml:space="preserve"> </w:t>
      </w:r>
      <w:r>
        <w:t xml:space="preserve">prevalence is the highest in the set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</w:t>
      </w:r>
      <w:r>
        <w:t xml:space="preserve"> </w:t>
      </w:r>
      <w:r>
        <w:t xml:space="preserve">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a prevalence of 0.104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Figure 3b has an alternate rendering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figure3alt_annotation_roc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 3alt</w:t>
      </w:r>
      <w:r>
        <w:t xml:space="preserve">)</w:t>
      </w:r>
      <w:r>
        <w:t xml:space="preserve"> </w:t>
      </w:r>
      <w:r>
        <w:t xml:space="preserve">that replaces nine per-project no-skill levels with one diagonal in ROC space, where the</w:t>
      </w:r>
      <w:r>
        <w:t xml:space="preserve"> </w:t>
      </w:r>
      <w:r>
        <w:t xml:space="preserve">size-matched null is closed-form at (k/N, k/N); mean TPR − FPR =</w:t>
      </w:r>
      <w:r>
        <w:t xml:space="preserve"> </w:t>
      </w:r>
      <w:r>
        <w:rPr>
          <w:bCs/>
          <w:b/>
        </w:rPr>
        <w:t xml:space="preserve">0.68</w:t>
      </w:r>
      <w:r>
        <w:t xml:space="preserve"> </w:t>
      </w:r>
      <w:r>
        <w:t xml:space="preserve">against 0 for chance.</w:t>
      </w:r>
      <w:r>
        <w:t xml:space="preserve"> </w:t>
      </w:r>
      <w:r>
        <w:t xml:space="preserve">It is cleaner but loses the precision-vs-lift reordering above. Pick one.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 32 columns, 9 projects,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[+0.038, +0.181]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[+0.032, +0.176]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27/32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1.9 × 10⁻⁵</w:t>
      </w:r>
      <w:r>
        <w:t xml:space="preserve"> </w:t>
      </w:r>
      <w:r>
        <w:t xml:space="preserve">(best available), 1.1 × 10⁻⁴ (strongest)</w:t>
      </w:r>
    </w:p>
    <w:p>
      <w:pPr>
        <w:numPr>
          <w:ilvl w:val="0"/>
          <w:numId w:val="1007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7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24/32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21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32/32</w:t>
      </w:r>
      <w:r>
        <w:t xml:space="preserve"> </w:t>
      </w:r>
      <w:r>
        <w:t xml:space="preserve">and wins in 28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8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 32 columns, 9 projects, 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28/32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three arms: baseline 0.476 → screening-only 0.476 → pipeline 0.574. The middle arm does not</w:t>
      </w:r>
      <w:r>
        <w:t xml:space="preserve"> </w:t>
      </w:r>
      <w:r>
        <w:t xml:space="preserve">move, which is the whole point</w:t>
      </w:r>
    </w:p>
    <w:p>
      <w:pPr>
        <w:numPr>
          <w:ilvl w:val="0"/>
          <w:numId w:val="1009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+0.211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29/32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0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(+0.001 + 0.049 = +0.050 vs +0.061)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(−0.000 + 0.099 = +0.099). Quote the means when you</w:t>
      </w:r>
      <w:r>
        <w:t xml:space="preserve"> </w:t>
      </w:r>
      <w:r>
        <w:t xml:space="preserve">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1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1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3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3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3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4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4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the two presentational choices (</w:t>
      </w:r>
      <w:r>
        <w:rPr>
          <w:rStyle w:val="VerbatimChar"/>
        </w:rPr>
        <w:t xml:space="preserve">NATURE_METHODS_SKELETON.md:283</w:t>
      </w:r>
      <w:r>
        <w:t xml:space="preserve">), and in</w:t>
      </w:r>
      <w:r>
        <w:t xml:space="preserve"> </w:t>
      </w:r>
      <w:r>
        <w:t xml:space="preserve">panel b that the connector runs prevalence → achieved precision, so the span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lift.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PR-space vs ROC-space rendering, undecided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0.575 vs 0.476, median Δ +0.061, 28/32, p = 1.9e-05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 3.3×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AutoNIMA: a harness for LLM-automated neuroimaging meta-analysis</dc:title>
  <dc:creator/>
  <cp:keywords/>
  <dcterms:created xsi:type="dcterms:W3CDTF">2026-09-10T21:29:19Z</dcterms:created>
  <dcterms:modified xsi:type="dcterms:W3CDTF">2026-09-10T21:29:19Z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