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panel a: dumbbell, tables-only against LLM parsing, all nine projects; must state</w:t>
      </w:r>
      <w:r>
        <w:t xml:space="preserve"> </w:t>
      </w:r>
      <w:r>
        <w:t xml:space="preserve">that parsing is scored only on papers from which at least one analysis was extracted. Panel b:</w:t>
      </w:r>
      <w:r>
        <w:t xml:space="preserve"> </w:t>
      </w:r>
      <w:r>
        <w:t xml:space="preserve">annotation in ROC space, all nine projects; must state that the diagonal is chance, that each</w:t>
      </w:r>
      <w:r>
        <w:t xml:space="preserve"> </w:t>
      </w:r>
      <w:r>
        <w:t xml:space="preserve">open marker is that project’s own same-size random selection, and that the unit is</w:t>
      </w:r>
      <w:r>
        <w:t xml:space="preserve"> </w:t>
      </w:r>
      <w:r>
        <w:t xml:space="preserve">analysis-to-contrast assignments rather than analyses.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renumbered 2026-09-17: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S1</w:t>
      </w:r>
      <w:r>
        <w:t xml:space="preserve"> </w:t>
      </w:r>
      <w:r>
        <w:t xml:space="preserve">criteria tier progression — mis-specification vs overfitting (</w:t>
      </w:r>
      <w:r>
        <w:rPr>
          <w:rStyle w:val="VerbatimChar"/>
        </w:rPr>
        <w:t xml:space="preserve">--only S1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S2</w:t>
      </w:r>
      <w:r>
        <w:t xml:space="preserve"> </w:t>
      </w:r>
      <w:r>
        <w:t xml:space="preserve">pool mismatch (</w:t>
      </w:r>
      <w:r>
        <w:rPr>
          <w:rStyle w:val="VerbatimChar"/>
        </w:rPr>
        <w:t xml:space="preserve">--only S2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S3</w:t>
      </w:r>
      <w:r>
        <w:t xml:space="preserve"> </w:t>
      </w:r>
      <w:r>
        <w:t xml:space="preserve">size-matched null (</w:t>
      </w:r>
      <w:r>
        <w:rPr>
          <w:rStyle w:val="VerbatimChar"/>
        </w:rPr>
        <w:t xml:space="preserve">--only S3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S4</w:t>
      </w:r>
      <w:r>
        <w:t xml:space="preserve"> </w:t>
      </w:r>
      <w:r>
        <w:t xml:space="preserve">brain maps, all columns (</w:t>
      </w:r>
      <w:r>
        <w:rPr>
          <w:rStyle w:val="VerbatimChar"/>
        </w:rPr>
        <w:t xml:space="preserve">scripts/make_brain_map_figure.py --mode all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S5</w:t>
      </w:r>
      <w:r>
        <w:t xml:space="preserve"> </w:t>
      </w:r>
      <w:r>
        <w:t xml:space="preserve">measured cost per stage (</w:t>
      </w:r>
      <w:r>
        <w:rPr>
          <w:rStyle w:val="VerbatimChar"/>
        </w:rPr>
        <w:t xml:space="preserve">--only S5</w:t>
      </w:r>
      <w:r>
        <w:t xml:space="preserve">)</w:t>
      </w:r>
    </w:p>
    <w:p>
      <w:pPr>
        <w:pStyle w:val="BlockText"/>
      </w:pPr>
      <w:r>
        <w:t xml:space="preserve">Three figures are still built and still correct but no longer cited, so they carry</w:t>
      </w:r>
      <w:r>
        <w:t xml:space="preserve"> </w:t>
      </w:r>
      <w:r>
        <w:t xml:space="preserve">descriptive keys rather than S-numbers:</w:t>
      </w:r>
      <w:r>
        <w:t xml:space="preserve"> </w:t>
      </w:r>
      <w:r>
        <w:rPr>
          <w:rStyle w:val="VerbatimChar"/>
        </w:rPr>
        <w:t xml:space="preserve">--only text2map</w:t>
      </w:r>
      <w:r>
        <w:t xml:space="preserve"> </w:t>
      </w:r>
      <w:r>
        <w:t xml:space="preserve">(text-to-map baselines),</w:t>
      </w:r>
      <w:r>
        <w:t xml:space="preserve"> </w:t>
      </w:r>
      <w:r>
        <w:rPr>
          <w:rStyle w:val="VerbatimChar"/>
        </w:rPr>
        <w:t xml:space="preserve">--only retention</w:t>
      </w:r>
      <w:r>
        <w:t xml:space="preserve"> </w:t>
      </w:r>
      <w:r>
        <w:t xml:space="preserve">(raw-denominator gold retention) and</w:t>
      </w:r>
      <w:r>
        <w:t xml:space="preserve"> </w:t>
      </w:r>
      <w:r>
        <w:rPr>
          <w:rStyle w:val="VerbatimChar"/>
        </w:rPr>
        <w:t xml:space="preserve">--only annotationpr</w:t>
      </w:r>
      <w:r>
        <w:t xml:space="preserve"> </w:t>
      </w:r>
      <w:r>
        <w:t xml:space="preserve">(annotation in precision-recall space). Extended Data: the §3 cautionary case,</w:t>
      </w:r>
      <w:r>
        <w:t xml:space="preserve"> </w:t>
      </w:r>
      <w:r>
        <w:t xml:space="preserve">per-project tables behind Figures 2–5, PRISMA funnels.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2026-09-17T17:02:32Z</dcterms:created>
  <dcterms:modified xsi:type="dcterms:W3CDTF">2026-09-17T17:02:32Z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