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annotation — and that selects at both the paper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annotation,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d7ecbe17ae1d4b0584803e5f6721e3b904266f5"/>
    <w:p>
      <w:pPr>
        <w:pStyle w:val="Heading2"/>
      </w:pPr>
      <w:r>
        <w:t xml:space="preserve">2. Screening is nearly free; annotation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S3, S6.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Annotation behaves</w:t>
      </w:r>
      <w:r>
        <w:t xml:space="preserve"> </w:t>
      </w:r>
      <w:r>
        <w:t xml:space="preserve">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annotation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annotation for papers that had nothing to annotate inverts the verdict</w:t>
      </w:r>
      <w:r>
        <w:t xml:space="preserve"> </w:t>
      </w:r>
      <w:r>
        <w:t xml:space="preserve">on the stage.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S3),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S3: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S3’s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annotation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Supplementary S7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S7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S7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S1, S4.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S5.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S5,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S1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S2,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annotation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8" w:name="figure-legends"/>
    <w:p>
      <w:pPr>
        <w:pStyle w:val="Heading1"/>
      </w:pPr>
      <w:r>
        <w:t xml:space="preserve">Figure legends</w:t>
      </w:r>
    </w:p>
    <w:bookmarkStart w:id="42" w:name="figure-1"/>
    <w:p>
      <w:pPr>
        <w:pStyle w:val="Heading2"/>
      </w:pPr>
      <w:r>
        <w:t xml:space="preserve">Figure 1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a, pipeline schematic: expert configuration → search → screening (abstract,</w:t>
      </w:r>
      <w:r>
        <w:t xml:space="preserve"> </w:t>
      </w:r>
      <w:r>
        <w:t xml:space="preserve">retrieval, full-text) → coordinate parsing → analysis annotation → meta-analysis, with the LLM</w:t>
      </w:r>
      <w:r>
        <w:t xml:space="preserve"> </w:t>
      </w:r>
      <w:r>
        <w:t xml:space="preserve">decision step drawn out at each stage that has one. Drawn: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. b, the unit distinction: one paper, k analyses, one</w:t>
      </w:r>
      <w:r>
        <w:t xml:space="preserve"> </w:t>
      </w:r>
      <w:r>
        <w:t xml:space="preserve">target contrast —</w:t>
      </w:r>
      <w:r>
        <w:t xml:space="preserve"> </w:t>
      </w:r>
      <w:r>
        <w:rPr>
          <w:bCs/>
          <w:b/>
        </w:rPr>
        <w:t xml:space="preserve">still to draw</w:t>
      </w:r>
      <w:r>
        <w:t xml:space="preserve">.</w:t>
      </w:r>
    </w:p>
    <w:bookmarkEnd w:id="42"/>
    <w:bookmarkStart w:id="43" w:name="figure-2"/>
    <w:p>
      <w:pPr>
        <w:pStyle w:val="Heading2"/>
      </w:pPr>
      <w:r>
        <w:t xml:space="preserve">Figure 2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state: the denominator per stage; that search is 1.000 by construction; and</w:t>
      </w:r>
      <w:r>
        <w:t xml:space="preserve"> </w:t>
      </w:r>
      <w:r>
        <w:t xml:space="preserve">that judgement losses stay charged while availability failures leave the denominator. n = 9.</w:t>
      </w:r>
    </w:p>
    <w:bookmarkEnd w:id="43"/>
    <w:bookmarkStart w:id="44" w:name="figure-3"/>
    <w:p>
      <w:pPr>
        <w:pStyle w:val="Heading2"/>
      </w:pPr>
      <w:r>
        <w:t xml:space="preserve">Figure 3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panel a: dumbbell, tables-only against LLM parsing, all nine projects; must state</w:t>
      </w:r>
      <w:r>
        <w:t xml:space="preserve"> </w:t>
      </w:r>
      <w:r>
        <w:t xml:space="preserve">that parsing is scored only on papers from which at least one analysis was extracted. Panel b:</w:t>
      </w:r>
      <w:r>
        <w:t xml:space="preserve"> </w:t>
      </w:r>
      <w:r>
        <w:t xml:space="preserve">annotation in ROC space, all nine projects; must state that the diagonal is chance, that each</w:t>
      </w:r>
      <w:r>
        <w:t xml:space="preserve"> </w:t>
      </w:r>
      <w:r>
        <w:t xml:space="preserve">open marker is that project’s own same-size random selection, and that the unit is</w:t>
      </w:r>
      <w:r>
        <w:t xml:space="preserve"> </w:t>
      </w:r>
      <w:r>
        <w:t xml:space="preserve">analysis-to-contrast assignments rather than analyses.</w:t>
      </w:r>
    </w:p>
    <w:bookmarkEnd w:id="44"/>
    <w:bookmarkStart w:id="45" w:name="figure-4"/>
    <w:p>
      <w:pPr>
        <w:pStyle w:val="Heading2"/>
      </w:pPr>
      <w:r>
        <w:t xml:space="preserve">Figure 4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say which baseline it is (best available per column,</w:t>
      </w:r>
      <w:r>
        <w:t xml:space="preserve"> </w:t>
      </w:r>
      <w:r>
        <w:rPr>
          <w:rStyle w:val="VerbatimChar"/>
        </w:rPr>
        <w:t xml:space="preserve">targeted</w:t>
      </w:r>
      <w:r>
        <w:t xml:space="preserve"> </w:t>
      </w:r>
      <w:r>
        <w:t xml:space="preserve">for 31 of 32),</w:t>
      </w:r>
      <w:r>
        <w:t xml:space="preserve"> </w:t>
      </w:r>
      <w:r>
        <w:t xml:space="preserve">that circle area encodes the number of analyses, and that the bottom rows are small wins rather</w:t>
      </w:r>
      <w:r>
        <w:t xml:space="preserve"> </w:t>
      </w:r>
      <w:r>
        <w:t xml:space="preserve">than losses (</w:t>
      </w:r>
      <w:r>
        <w:rPr>
          <w:rStyle w:val="VerbatimChar"/>
        </w:rPr>
        <w:t xml:space="preserve">NATURE_METHODS_SKELETON.md:470</w:t>
      </w:r>
      <w:r>
        <w:t xml:space="preserve">).</w:t>
      </w:r>
    </w:p>
    <w:bookmarkEnd w:id="45"/>
    <w:bookmarkStart w:id="46" w:name="figure-5"/>
    <w:p>
      <w:pPr>
        <w:pStyle w:val="Heading2"/>
      </w:pPr>
      <w:r>
        <w:t xml:space="preserve">Figure 5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must state that the three arms are baseline / screening-only / full pipeline, all</w:t>
      </w:r>
      <w:r>
        <w:t xml:space="preserve"> </w:t>
      </w:r>
      <w:r>
        <w:t xml:space="preserve">from the canonical run, and that the middle arm isolates paper selection.</w:t>
      </w:r>
    </w:p>
    <w:bookmarkEnd w:id="46"/>
    <w:bookmarkStart w:id="47" w:name="figure-6"/>
    <w:p>
      <w:pPr>
        <w:pStyle w:val="Heading2"/>
      </w:pPr>
      <w:r>
        <w:t xml:space="preserve">Figure 6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: three emotion-regulation maps against a single</w:t>
      </w:r>
      <w:r>
        <w:t xml:space="preserve"> </w:t>
      </w:r>
      <w:r>
        <w:t xml:space="preserve">baseline, on inflated surfaces. The honest framing is that this shows what a good case looks</w:t>
      </w:r>
      <w:r>
        <w:t xml:space="preserve"> </w:t>
      </w:r>
      <w:r>
        <w:t xml:space="preserve">like while Figures 4 and 5 report the whole distribution including the losses.</w:t>
      </w:r>
    </w:p>
    <w:bookmarkEnd w:id="47"/>
    <w:bookmarkEnd w:id="48"/>
    <w:bookmarkStart w:id="52" w:name="supplementary-information"/>
    <w:p>
      <w:pPr>
        <w:pStyle w:val="Heading1"/>
      </w:pPr>
      <w:r>
        <w:t xml:space="preserve">Supplementary Information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S1 measured cost · S2 mis-specification vs overfitting · S3 pool mismatch ·</w:t>
      </w:r>
      <w:r>
        <w:t xml:space="preserve"> </w:t>
      </w:r>
      <w:r>
        <w:t xml:space="preserve">S4 text-to-map baselines · S5 size-matched null · S6 raw-denominator gold retention ·</w:t>
      </w:r>
      <w:r>
        <w:t xml:space="preserve"> </w:t>
      </w:r>
      <w:r>
        <w:t xml:space="preserve">S7 annotation in precision-recall space (was Figure 3b until 2026-09-16; n = 8, excludes</w:t>
      </w:r>
      <w:r>
        <w:t xml:space="preserve"> </w:t>
      </w:r>
      <w:r>
        <w:t xml:space="preserve">dementia, and carries the precision-vs-lift reordering).</w:t>
      </w:r>
      <w:r>
        <w:t xml:space="preserve"> </w:t>
      </w:r>
      <w:r>
        <w:t xml:space="preserve">Extended Data: the §3 cautionary case, per-project tables behind Figures 2–5, PRISMA funnels.</w:t>
      </w:r>
    </w:p>
    <w:bookmarkStart w:id="49" w:name="X8754ef6860cfa280f4f47fe7ca8b7faf50762af"/>
    <w:p>
      <w:pPr>
        <w:pStyle w:val="Heading2"/>
      </w:pPr>
      <w:r>
        <w:t xml:space="preserve">Supplementary S3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9"/>
    <w:bookmarkStart w:id="50" w:name="X18be986882e547fcca50e2d734cda0b7624d12d"/>
    <w:p>
      <w:pPr>
        <w:pStyle w:val="Heading2"/>
      </w:pPr>
      <w:r>
        <w:t xml:space="preserve">Supplementary S4 — a term is not an analysis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50"/>
    <w:bookmarkStart w:id="51" w:name="Xcfdfc7fbe93a2bc3a44614ae071cd7348070526"/>
    <w:p>
      <w:pPr>
        <w:pStyle w:val="Heading2"/>
      </w:pPr>
      <w:r>
        <w:t xml:space="preserve">Supplementary S6 — raw denominator, retrieval as its own stage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scaffolding-delete-before-submission"/>
    <w:p>
      <w:pPr>
        <w:pStyle w:val="Heading1"/>
      </w:pPr>
      <w:r>
        <w:t xml:space="preserve">SCAFFOLDING — DELETE BEFORE SUBMISSION</w:t>
      </w:r>
    </w:p>
    <w:bookmarkStart w:id="53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53"/>
    <w:bookmarkStart w:id="54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Supplementary S7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54"/>
    <w:bookmarkStart w:id="55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2026-09-16T22:02:23Z</dcterms:created>
  <dcterms:modified xsi:type="dcterms:W3CDTF">2026-09-16T22:02:23Z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