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selection — and that selects at both the article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selection,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c3f52504223266b026ec7317a02d9a0df676993"/>
    <w:p>
      <w:pPr>
        <w:pStyle w:val="Heading2"/>
      </w:pPr>
      <w:r>
        <w:t xml:space="preserve">2. Screening is nearly free; analysis selection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S2, and the raw-retention figure.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Analysis selection</w:t>
      </w:r>
      <w:r>
        <w:t xml:space="preserve"> </w:t>
      </w:r>
      <w:r>
        <w:t xml:space="preserve">behaves 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analysis selection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the stage for papers that had nothing to select from inverts the</w:t>
      </w:r>
      <w:r>
        <w:t xml:space="preserve"> </w:t>
      </w:r>
      <w:r>
        <w:t xml:space="preserve">verdict on it.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S2),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S2: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S2’s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analysis-selection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unnumbered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annotationpr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It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S5, and the text-to-map figure.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figureS4_brain_maps_all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S3.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S3,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S5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S1,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analysis selection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2" w:name="figure-legends"/>
    <w:p>
      <w:pPr>
        <w:pStyle w:val="Heading1"/>
      </w:pPr>
      <w:r>
        <w:t xml:space="preserve">Figure legends</w:t>
      </w:r>
    </w:p>
    <w:p>
      <w:pPr>
        <w:pStyle w:val="BlockText"/>
      </w:pPr>
      <w:r>
        <w:rPr>
          <w:bCs/>
          <w:b/>
        </w:rPr>
        <w:t xml:space="preserve">BRIEF — numbering follows order of first citation</w:t>
      </w:r>
      <w:r>
        <w:t xml:space="preserve">, which Nature requires and which matches</w:t>
      </w:r>
      <w:r>
        <w:t xml:space="preserve"> </w:t>
      </w:r>
      <w:r>
        <w:t xml:space="preserve">the placeholder layout in the draft: the emotion-regulation exemplar is first cited in the</w:t>
      </w:r>
      <w:r>
        <w:t xml:space="preserve"> </w:t>
      </w:r>
      <w:r>
        <w:t xml:space="preserve">Figure 4 section, so it is</w:t>
      </w:r>
      <w:r>
        <w:t xml:space="preserve"> </w:t>
      </w:r>
      <w:r>
        <w:rPr>
          <w:bCs/>
          <w:b/>
        </w:rPr>
        <w:t xml:space="preserve">Figure 5</w:t>
      </w:r>
      <w:r>
        <w:t xml:space="preserve">, and the decomposition is</w:t>
      </w:r>
      <w:r>
        <w:t xml:space="preserve"> </w:t>
      </w:r>
      <w:r>
        <w:rPr>
          <w:bCs/>
          <w:b/>
        </w:rPr>
        <w:t xml:space="preserve">Figure 6</w:t>
      </w:r>
      <w:r>
        <w:t xml:space="preserve">. The repo</w:t>
      </w:r>
      <w:r>
        <w:t xml:space="preserve"> </w:t>
      </w:r>
      <w:r>
        <w:t xml:space="preserve">currently names these the other way round (</w:t>
      </w:r>
      <w:r>
        <w:rPr>
          <w:rStyle w:val="VerbatimChar"/>
        </w:rPr>
        <w:t xml:space="preserve">figure5_selection_decomposition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); the files need renaming to match, and the draft’s one inline</w:t>
      </w:r>
      <w:r>
        <w:t xml:space="preserve"> </w:t>
      </w:r>
      <w:r>
        <w:t xml:space="preserve">“</w:t>
      </w:r>
      <w:r>
        <w:t xml:space="preserve">(Fig. 6)</w:t>
      </w:r>
      <w:r>
        <w:t xml:space="preserve">”</w:t>
      </w:r>
      <w:r>
        <w:t xml:space="preserve"> </w:t>
      </w:r>
      <w:r>
        <w:t xml:space="preserve">for the emotion-regulation map becomes</w:t>
      </w:r>
      <w:r>
        <w:t xml:space="preserve"> </w:t>
      </w:r>
      <w:r>
        <w:t xml:space="preserve">“</w:t>
      </w:r>
      <w:r>
        <w:t xml:space="preserve">(Fig. 5)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Fig. 1 | AutoNIMA, and the unit that determines a meta-analytic result.</w:t>
      </w:r>
      <w:r>
        <w:t xml:space="preserve"> </w:t>
      </w:r>
      <w:r>
        <w:rPr>
          <w:bCs/>
          <w:b/>
        </w:rPr>
        <w:t xml:space="preserve">a</w:t>
      </w:r>
      <w:r>
        <w:t xml:space="preserve">, The workflow. A research question is expressed as explicit article- and contrast-level</w:t>
      </w:r>
      <w:r>
        <w:t xml:space="preserve"> </w:t>
      </w:r>
      <w:r>
        <w:t xml:space="preserve">eligibility criteria, which govern a sequence of assessments over progressively more detailed</w:t>
      </w:r>
      <w:r>
        <w:t xml:space="preserve"> </w:t>
      </w:r>
      <w:r>
        <w:t xml:space="preserve">evidence: a PubMed search, abstract screening, full-text retrieval and screening, heuristic</w:t>
      </w:r>
      <w:r>
        <w:t xml:space="preserve"> </w:t>
      </w:r>
      <w:r>
        <w:t xml:space="preserve">identification of candidate coordinate tables, LLM parsing of those tables into distinct</w:t>
      </w:r>
      <w:r>
        <w:t xml:space="preserve"> </w:t>
      </w:r>
      <w:r>
        <w:t xml:space="preserve">analyses, and LLM assignment of each analysis to the target contrasts it satisfies. Coordinates</w:t>
      </w:r>
      <w:r>
        <w:t xml:space="preserve"> </w:t>
      </w:r>
      <w:r>
        <w:t xml:space="preserve">from the selected analyses are submitted to coordinate-based meta-analysis, yielding one spatial</w:t>
      </w:r>
      <w:r>
        <w:t xml:space="preserve"> </w:t>
      </w:r>
      <w:r>
        <w:t xml:space="preserve">map per target contrast.</w:t>
      </w:r>
      <w:r>
        <w:t xml:space="preserve"> </w:t>
      </w:r>
      <w:r>
        <w:rPr>
          <w:bCs/>
          <w:b/>
        </w:rPr>
        <w:t xml:space="preserve">b</w:t>
      </w:r>
      <w:r>
        <w:t xml:space="preserve">, Article eligibility is not analysis eligibility. A single eligible</w:t>
      </w:r>
      <w:r>
        <w:t xml:space="preserve"> </w:t>
      </w:r>
      <w:r>
        <w:t xml:space="preserve">article reports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statistical comparisons, and typically only a subset addresses any one target;</w:t>
      </w:r>
      <w:r>
        <w:t xml:space="preserve"> </w:t>
      </w:r>
      <w:r>
        <w:t xml:space="preserve">pooling every coordinate in the article answers a different question from the one posed.</w:t>
      </w:r>
    </w:p>
    <w:p>
      <w:pPr>
        <w:pStyle w:val="BodyText"/>
      </w:pPr>
      <w:r>
        <w:rPr>
          <w:bCs/>
          <w:b/>
        </w:rPr>
        <w:t xml:space="preserve">Fig. 2 | Screening raises precision against expert curation while retaining most assessable</w:t>
      </w:r>
      <w:r>
        <w:rPr>
          <w:bCs/>
          <w:b/>
        </w:rPr>
        <w:t xml:space="preserve"> </w:t>
      </w:r>
      <w:r>
        <w:rPr>
          <w:bCs/>
          <w:b/>
        </w:rPr>
        <w:t xml:space="preserve">studies.</w:t>
      </w:r>
      <w:r>
        <w:t xml:space="preserve"> </w:t>
      </w:r>
      <w:r>
        <w:rPr>
          <w:bCs/>
          <w:b/>
        </w:rPr>
        <w:t xml:space="preserve">a</w:t>
      </w:r>
      <w:r>
        <w:t xml:space="preserve">, Precision, the proportion of retained articles present in the expert inclusion</w:t>
      </w:r>
      <w:r>
        <w:t xml:space="preserve"> </w:t>
      </w:r>
      <w:r>
        <w:t xml:space="preserve">list, at each stage of the workflow.</w:t>
      </w:r>
      <w:r>
        <w:t xml:space="preserve"> </w:t>
      </w:r>
      <w:r>
        <w:rPr>
          <w:bCs/>
          <w:b/>
        </w:rPr>
        <w:t xml:space="preserve">b</w:t>
      </w:r>
      <w:r>
        <w:t xml:space="preserve">, Recall at each stage, computed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denominator: at each stage the denominator drops the studies that became unavailable</w:t>
      </w:r>
      <w:r>
        <w:t xml:space="preserve"> </w:t>
      </w:r>
      <w:r>
        <w:t xml:space="preserve">there — not returned by the search, no usable full text, or no parseable coordinates — and never</w:t>
      </w:r>
      <w:r>
        <w:t xml:space="preserve"> </w:t>
      </w:r>
      <w:r>
        <w:t xml:space="preserve">drops a study that was rejected on judgement. The search stage is therefore 1.000 by</w:t>
      </w:r>
      <w:r>
        <w:t xml:space="preserve"> </w:t>
      </w:r>
      <w:r>
        <w:t xml:space="preserve">construction, being a pure availability stage; the PubMed search returned a mean of 86% of the</w:t>
      </w:r>
      <w:r>
        <w:t xml:space="preserve"> </w:t>
      </w:r>
      <w:r>
        <w:t xml:space="preserve">expert-included studies (range 60–96%), and that ceiling is the quantity the denominator removes.</w:t>
      </w:r>
      <w:r>
        <w:t xml:space="preserve"> </w:t>
      </w:r>
      <w:r>
        <w:t xml:space="preserve">Each line is one project (</w:t>
      </w:r>
      <w:r>
        <w:rPr>
          <w:iCs/>
          <w:i/>
        </w:rPr>
        <w:t xml:space="preserve">n</w:t>
      </w:r>
      <w:r>
        <w:t xml:space="preserve"> </w:t>
      </w:r>
      <w:r>
        <w:t xml:space="preserve">= 9); the heavy black line is the cross-project mean. Because</w:t>
      </w:r>
      <w:r>
        <w:t xml:space="preserve"> </w:t>
      </w:r>
      <w:r>
        <w:t xml:space="preserve">availability losses leave the denominator but screening decisions do not, the decline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t xml:space="preserve">attributable to eligibility judgements alone. Scored instead against every expert-included study,</w:t>
      </w:r>
      <w:r>
        <w:t xml:space="preserve"> </w:t>
      </w:r>
      <w:r>
        <w:t xml:space="preserve">recall at analysis selection reads 0.48 rather than 0.82.</w:t>
      </w:r>
    </w:p>
    <w:p>
      <w:pPr>
        <w:pStyle w:val="BodyText"/>
      </w:pPr>
      <w:r>
        <w:rPr>
          <w:bCs/>
          <w:b/>
        </w:rPr>
        <w:t xml:space="preserve">Fig. 3 | LLM parsing recovers individual analyses; LLM assignment selects among them.</w:t>
      </w:r>
      <w:r>
        <w:t xml:space="preserve"> </w:t>
      </w:r>
      <w:r>
        <w:rPr>
          <w:bCs/>
          <w:b/>
        </w:rPr>
        <w:t xml:space="preserve">a</w:t>
      </w:r>
      <w:r>
        <w:t xml:space="preserve">, Percentage of expert-curated analyses recovered for each project: open markers, treating</w:t>
      </w:r>
      <w:r>
        <w:t xml:space="preserve"> </w:t>
      </w:r>
      <w:r>
        <w:t xml:space="preserve">each coordinate table as a single analysis; filled markers, LLM parsing. Marker fill encodes the</w:t>
      </w:r>
      <w:r>
        <w:t xml:space="preserve"> </w:t>
      </w:r>
      <w:r>
        <w:t xml:space="preserve">method and colour identifies the project, so the comparison survives greyscale reproduction and</w:t>
      </w:r>
      <w:r>
        <w:t xml:space="preserve"> </w:t>
      </w:r>
      <w:r>
        <w:t xml:space="preserve">any form of colour-vision deficiency. The same convention holds in</w:t>
      </w:r>
      <w:r>
        <w:t xml:space="preserve"> </w:t>
      </w:r>
      <w:r>
        <w:rPr>
          <w:bCs/>
          <w:b/>
        </w:rPr>
        <w:t xml:space="preserve">b</w:t>
      </w:r>
      <w:r>
        <w:t xml:space="preserve">, where open marks the</w:t>
      </w:r>
      <w:r>
        <w:t xml:space="preserve"> </w:t>
      </w:r>
      <w:r>
        <w:t xml:space="preserve">reference being beaten and filled the pipeline result. Parsing is scored only on the</w:t>
      </w:r>
      <w:r>
        <w:t xml:space="preserve"> </w:t>
      </w:r>
      <w:r>
        <w:t xml:space="preserve">663 of 1,047 expert-included articles (63%) from which at least one analysis was automatically</w:t>
      </w:r>
      <w:r>
        <w:t xml:space="preserve"> </w:t>
      </w:r>
      <w:r>
        <w:t xml:space="preserve">extracted; articles yielding none are attributable to retrieval or extraction failure rather than</w:t>
      </w:r>
      <w:r>
        <w:t xml:space="preserve"> </w:t>
      </w:r>
      <w:r>
        <w:t xml:space="preserve">mis-parsing and are accounted for in Fig. 2.</w:t>
      </w:r>
      <w:r>
        <w:t xml:space="preserve"> </w:t>
      </w:r>
      <w:r>
        <w:rPr>
          <w:bCs/>
          <w:b/>
        </w:rPr>
        <w:t xml:space="preserve">b</w:t>
      </w:r>
      <w:r>
        <w:t xml:space="preserve">, Analysis-to-contrast assignment in ROC space.</w:t>
      </w:r>
      <w:r>
        <w:t xml:space="preserve"> </w:t>
      </w:r>
      <w:r>
        <w:t xml:space="preserve">Each filled marker is one project’s operating point; the diagonal is chance, and the open marker</w:t>
      </w:r>
      <w:r>
        <w:t xml:space="preserve"> </w:t>
      </w:r>
      <w:r>
        <w:t xml:space="preserve">on it is that project’s own same-size random selection, which lands at (</w:t>
      </w:r>
      <w:r>
        <w:rPr>
          <w:iCs/>
          <w:i/>
        </w:rPr>
        <w:t xml:space="preserve">k</w:t>
      </w:r>
      <w:r>
        <w:t xml:space="preserve">/</w:t>
      </w:r>
      <w:r>
        <w:rPr>
          <w:iCs/>
          <w:i/>
        </w:rPr>
        <w:t xml:space="preserve">N</w:t>
      </w:r>
      <w:r>
        <w:t xml:space="preserve">,</w:t>
      </w:r>
      <w:r>
        <w:t xml:space="preserve"> </w:t>
      </w:r>
      <w:r>
        <w:rPr>
          <w:iCs/>
          <w:i/>
        </w:rPr>
        <w:t xml:space="preserve">k</w:t>
      </w:r>
      <w:r>
        <w:t xml:space="preserve">/</w:t>
      </w:r>
      <w:r>
        <w:rPr>
          <w:iCs/>
          <w:i/>
        </w:rPr>
        <w:t xml:space="preserve">N</w:t>
      </w:r>
      <w:r>
        <w:t xml:space="preserve">) in</w:t>
      </w:r>
      <w:r>
        <w:t xml:space="preserve"> </w:t>
      </w:r>
      <w:r>
        <w:t xml:space="preserve">closed form. The unit is analysis-to-contrast assignments rather than analyses, since one analysis</w:t>
      </w:r>
      <w:r>
        <w:t xml:space="preserve"> </w:t>
      </w:r>
      <w:r>
        <w:t xml:space="preserve">may be eligible for more than one contrast.</w:t>
      </w:r>
    </w:p>
    <w:p>
      <w:pPr>
        <w:pStyle w:val="BodyText"/>
      </w:pPr>
      <w:r>
        <w:rPr>
          <w:bCs/>
          <w:b/>
        </w:rPr>
        <w:t xml:space="preserve">Fig. 4 | End-to-end synthesis recovers published maps more faithfully than search-only</w:t>
      </w:r>
      <w:r>
        <w:rPr>
          <w:bCs/>
          <w:b/>
        </w:rPr>
        <w:t xml:space="preserve"> </w:t>
      </w:r>
      <w:r>
        <w:rPr>
          <w:bCs/>
          <w:b/>
        </w:rPr>
        <w:t xml:space="preserve">synthesis.</w:t>
      </w:r>
      <w:r>
        <w:t xml:space="preserve"> </w:t>
      </w:r>
      <w:r>
        <w:rPr>
          <w:bCs/>
          <w:b/>
        </w:rPr>
        <w:t xml:space="preserve">a</w:t>
      </w:r>
      <w:r>
        <w:t xml:space="preserve">, Pipeline against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 for each of 28 target contrasts in eight</w:t>
      </w:r>
      <w:r>
        <w:t xml:space="preserve"> </w:t>
      </w:r>
      <w:r>
        <w:t xml:space="preserve">projects; points above the identity line favour the pipeline, and circle area encodes the number</w:t>
      </w:r>
      <w:r>
        <w:t xml:space="preserve"> </w:t>
      </w:r>
      <w:r>
        <w:t xml:space="preserve">of analyses pooled.</w:t>
      </w:r>
      <w:r>
        <w:t xml:space="preserve"> </w:t>
      </w:r>
      <w:r>
        <w:rPr>
          <w:bCs/>
          <w:b/>
        </w:rPr>
        <w:t xml:space="preserve">b</w:t>
      </w:r>
      <w:r>
        <w:t xml:space="preserve">, The same contrasts ordered by advantage, with the cross-contrast mean</w:t>
      </w:r>
      <w:r>
        <w:t xml:space="preserve"> </w:t>
      </w:r>
      <w:r>
        <w:t xml:space="preserve">and its 95% confidence interval. The baseline is the strongest one a practitioner could have built</w:t>
      </w:r>
      <w:r>
        <w:t xml:space="preserve"> </w:t>
      </w:r>
      <w:r>
        <w:t xml:space="preserve">in advance for that contrast: a contrast-targeted PubMed search where the contrast is a separable</w:t>
      </w:r>
      <w:r>
        <w:t xml:space="preserve"> </w:t>
      </w:r>
      <w:r>
        <w:t xml:space="preserve">search topic (27 of 28) and the project’s broad search otherwise. All arms were meta-analysed</w:t>
      </w:r>
      <w:r>
        <w:t xml:space="preserve"> </w:t>
      </w:r>
      <w:r>
        <w:t xml:space="preserve">identically by MKDA and compared as squared voxelwise correlation between unthresholded maps.</w:t>
      </w:r>
      <w:r>
        <w:t xml:space="preserve"> </w:t>
      </w:r>
      <w:r>
        <w:t xml:space="preserve">Confidence intervals are cluster bootstrap over projects, not contrasts (20,000 resamples);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a two-sided sign test over contrasts. The dementia project is excluded because its</w:t>
      </w:r>
      <w:r>
        <w:t xml:space="preserve"> </w:t>
      </w:r>
      <w:r>
        <w:t xml:space="preserve">reference data pool coordinates across studies, giving analysis units that are not comparable with</w:t>
      </w:r>
      <w:r>
        <w:t xml:space="preserve"> </w:t>
      </w:r>
      <w:r>
        <w:t xml:space="preserve">those extracted from individual articles. The two negative bars are small losses, not failures of</w:t>
      </w:r>
      <w:r>
        <w:t xml:space="preserve"> </w:t>
      </w:r>
      <w:r>
        <w:t xml:space="preserve">the same magnitude as the gains at the other end.</w:t>
      </w:r>
    </w:p>
    <w:p>
      <w:pPr>
        <w:pStyle w:val="BodyText"/>
      </w:pPr>
      <w:r>
        <w:rPr>
          <w:bCs/>
          <w:b/>
        </w:rPr>
        <w:t xml:space="preserve">Fig. 5 | Analysis-level selection recovers a target contrast that article-level pooling cannot</w:t>
      </w:r>
      <w:r>
        <w:rPr>
          <w:bCs/>
          <w:b/>
        </w:rPr>
        <w:t xml:space="preserve"> </w:t>
      </w:r>
      <w:r>
        <w:rPr>
          <w:bCs/>
          <w:b/>
        </w:rPr>
        <w:t xml:space="preserve">(emotion regulation).</w:t>
      </w:r>
      <w:r>
        <w:t xml:space="preserve"> </w:t>
      </w:r>
      <w:r>
        <w:t xml:space="preserve">Reference, search-only baseline and pipeline maps for three</w:t>
      </w:r>
      <w:r>
        <w:t xml:space="preserve"> </w:t>
      </w:r>
      <w:r>
        <w:t xml:space="preserve">emotion-regulation contrasts — increasing, maintaining and reappraising an emotional response —</w:t>
      </w:r>
      <w:r>
        <w:t xml:space="preserve"> </w:t>
      </w:r>
      <w:r>
        <w:t xml:space="preserve">rendered on inflated cortical surfaces and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1.96. A single reappraisal study</w:t>
      </w:r>
      <w:r>
        <w:t xml:space="preserve"> </w:t>
      </w:r>
      <w:r>
        <w:t xml:space="preserve">can report all three comparisons; article-level pooling combines their coordinates, whereas</w:t>
      </w:r>
      <w:r>
        <w:t xml:space="preserve"> </w:t>
      </w:r>
      <w:r>
        <w:t xml:space="preserve">analysis-level selection retains only those matching each target. The fourth annotated contrast</w:t>
      </w:r>
      <w:r>
        <w:t xml:space="preserve"> </w:t>
      </w:r>
      <w:r>
        <w:t xml:space="preserve">(</w:t>
      </w:r>
      <w:r>
        <w:rPr>
          <w:iCs/>
          <w:i/>
        </w:rPr>
        <w:t xml:space="preserve">decrease</w:t>
      </w:r>
      <w:r>
        <w:t xml:space="preserve">) is omitted because its reference map duplicates the reappraisal contrast in the</w:t>
      </w:r>
      <w:r>
        <w:t xml:space="preserve"> </w:t>
      </w:r>
      <w:r>
        <w:t xml:space="preserve">benchmark source data rather than representing a distinct comparison. This is an exemplar: Figs 4</w:t>
      </w:r>
      <w:r>
        <w:t xml:space="preserve"> </w:t>
      </w:r>
      <w:r>
        <w:t xml:space="preserve">and 6 report the full distribution, including the contrasts where the pipeline does not gain.</w:t>
      </w:r>
    </w:p>
    <w:p>
      <w:pPr>
        <w:pStyle w:val="BodyText"/>
      </w:pPr>
      <w:r>
        <w:rPr>
          <w:bCs/>
          <w:b/>
        </w:rPr>
        <w:t xml:space="preserve">Fig. 6 | The advantage comes from selecting analyses, not from selecting articles.</w:t>
      </w:r>
      <w:r>
        <w:t xml:space="preserve"> </w:t>
      </w:r>
      <w:r>
        <w:t xml:space="preserve">Three arms</w:t>
      </w:r>
      <w:r>
        <w:t xml:space="preserve"> </w:t>
      </w:r>
      <w:r>
        <w:t xml:space="preserve">over the same 28 contrasts, all from the same pipeline run: the search-only baseline; a</w:t>
      </w:r>
      <w:r>
        <w:t xml:space="preserve"> </w:t>
      </w:r>
      <w:r>
        <w:t xml:space="preserve">screening-only arm that applies article-level eligibility criteria and then pools every parsed</w:t>
      </w:r>
      <w:r>
        <w:t xml:space="preserve"> </w:t>
      </w:r>
      <w:r>
        <w:t xml:space="preserve">analysis from the retained articles; and the full pipeline, which additionally selects analyses per</w:t>
      </w:r>
      <w:r>
        <w:t xml:space="preserve"> </w:t>
      </w:r>
      <w:r>
        <w:t xml:space="preserve">contrast. Each panel plots one arm against the next, so points above the identity line are</w:t>
      </w:r>
      <w:r>
        <w:t xml:space="preserve"> </w:t>
      </w:r>
      <w:r>
        <w:t xml:space="preserve">contrasts where that step gained; the middle arm isolates the contribution of article screening. Mean gains are additive</w:t>
      </w:r>
      <w:r>
        <w:t xml:space="preserve"> </w:t>
      </w:r>
      <w:r>
        <w:t xml:space="preserve">and sum to the total margin in Fig. 4 (+0.005 from article screening, +0.109 from analysis</w:t>
      </w:r>
      <w:r>
        <w:t xml:space="preserve"> </w:t>
      </w:r>
      <w:r>
        <w:t xml:space="preserve">selection, +0.114 in total), so 96% of the advantage is attributable to selection within articles.</w:t>
      </w:r>
    </w:p>
    <w:bookmarkEnd w:id="42"/>
    <w:bookmarkStart w:id="47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renumbered 2026-09-17: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S1</w:t>
      </w:r>
      <w:r>
        <w:t xml:space="preserve"> </w:t>
      </w:r>
      <w:r>
        <w:t xml:space="preserve">criteria tier progression — mis-specification vs overfitting (</w:t>
      </w:r>
      <w:r>
        <w:rPr>
          <w:rStyle w:val="VerbatimChar"/>
        </w:rPr>
        <w:t xml:space="preserve">--only S1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S2</w:t>
      </w:r>
      <w:r>
        <w:t xml:space="preserve"> </w:t>
      </w:r>
      <w:r>
        <w:t xml:space="preserve">pool mismatch (</w:t>
      </w:r>
      <w:r>
        <w:rPr>
          <w:rStyle w:val="VerbatimChar"/>
        </w:rPr>
        <w:t xml:space="preserve">--only S2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S3</w:t>
      </w:r>
      <w:r>
        <w:t xml:space="preserve"> </w:t>
      </w:r>
      <w:r>
        <w:t xml:space="preserve">size-matched null (</w:t>
      </w:r>
      <w:r>
        <w:rPr>
          <w:rStyle w:val="VerbatimChar"/>
        </w:rPr>
        <w:t xml:space="preserve">--only S3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S4</w:t>
      </w:r>
      <w:r>
        <w:t xml:space="preserve"> </w:t>
      </w:r>
      <w:r>
        <w:t xml:space="preserve">brain maps, all columns (</w:t>
      </w:r>
      <w:r>
        <w:rPr>
          <w:rStyle w:val="VerbatimChar"/>
        </w:rPr>
        <w:t xml:space="preserve">--only S4</w:t>
      </w:r>
      <w:r>
        <w:t xml:space="preserve">; shells out to</w:t>
      </w:r>
      <w:r>
        <w:t xml:space="preserve"> </w:t>
      </w:r>
      <w:r>
        <w:rPr>
          <w:rStyle w:val="VerbatimChar"/>
        </w:rPr>
        <w:t xml:space="preserve">scripts/make_brain_map_figure.py</w:t>
      </w:r>
      <w:r>
        <w:t xml:space="preserve"> </w:t>
      </w:r>
      <w:r>
        <w:t xml:space="preserve">under system python3 and takes ~2 min, so a full</w:t>
      </w:r>
      <w:r>
        <w:t xml:space="preserve"> </w:t>
      </w:r>
      <w:r>
        <w:t xml:space="preserve">figure rebuild reports it and skips it)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S5</w:t>
      </w:r>
      <w:r>
        <w:t xml:space="preserve"> </w:t>
      </w:r>
      <w:r>
        <w:t xml:space="preserve">measured cost per stage (</w:t>
      </w:r>
      <w:r>
        <w:rPr>
          <w:rStyle w:val="VerbatimChar"/>
        </w:rPr>
        <w:t xml:space="preserve">--only S5</w:t>
      </w:r>
      <w:r>
        <w:t xml:space="preserve">)</w:t>
      </w:r>
    </w:p>
    <w:p>
      <w:pPr>
        <w:pStyle w:val="BlockText"/>
      </w:pPr>
      <w:r>
        <w:t xml:space="preserve">Three figures are still built and still correct but no longer cited, so they carry</w:t>
      </w:r>
      <w:r>
        <w:t xml:space="preserve"> </w:t>
      </w:r>
      <w:r>
        <w:t xml:space="preserve">descriptive keys rather than S-numbers:</w:t>
      </w:r>
      <w:r>
        <w:t xml:space="preserve"> </w:t>
      </w:r>
      <w:r>
        <w:rPr>
          <w:rStyle w:val="VerbatimChar"/>
        </w:rPr>
        <w:t xml:space="preserve">--only text2map</w:t>
      </w:r>
      <w:r>
        <w:t xml:space="preserve"> </w:t>
      </w:r>
      <w:r>
        <w:t xml:space="preserve">(text-to-map baselines),</w:t>
      </w:r>
      <w:r>
        <w:t xml:space="preserve"> </w:t>
      </w:r>
      <w:r>
        <w:rPr>
          <w:rStyle w:val="VerbatimChar"/>
        </w:rPr>
        <w:t xml:space="preserve">--only retention</w:t>
      </w:r>
      <w:r>
        <w:t xml:space="preserve"> </w:t>
      </w:r>
      <w:r>
        <w:t xml:space="preserve">(raw-denominator gold retention) and</w:t>
      </w:r>
      <w:r>
        <w:t xml:space="preserve"> </w:t>
      </w:r>
      <w:r>
        <w:rPr>
          <w:rStyle w:val="VerbatimChar"/>
        </w:rPr>
        <w:t xml:space="preserve">--only annotationpr</w:t>
      </w:r>
      <w:r>
        <w:t xml:space="preserve"> </w:t>
      </w:r>
      <w:r>
        <w:t xml:space="preserve">(annotation in precision-recall space). Extended Data: the §3 cautionary case,</w:t>
      </w:r>
      <w:r>
        <w:t xml:space="preserve"> </w:t>
      </w:r>
      <w:r>
        <w:t xml:space="preserve">per-project tables behind Figures 2–5, PRISMA funnels.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3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Cs/>
          <w:b/>
        </w:rPr>
        <w:t xml:space="preserve">Supplementary Fig. S1 | Criteria refined against benchmark feedback add little beyond correcting</w:t>
      </w:r>
      <w:r>
        <w:rPr>
          <w:bCs/>
          <w:b/>
        </w:rPr>
        <w:t xml:space="preserve"> </w:t>
      </w:r>
      <w:r>
        <w:rPr>
          <w:bCs/>
          <w:b/>
        </w:rPr>
        <w:t xml:space="preserve">oversights.</w:t>
      </w:r>
      <w:r>
        <w:t xml:space="preserve"> </w:t>
      </w:r>
      <w:r>
        <w:t xml:space="preserve">Map recovery (</w:t>
      </w:r>
      <w:r>
        <w:rPr>
          <w:iCs/>
          <w:i/>
        </w:rPr>
        <w:t xml:space="preserve">R</w:t>
      </w:r>
      <w:r>
        <w:t xml:space="preserve">²) for each project across three criteria tiers: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,</w:t>
      </w:r>
      <w:r>
        <w:t xml:space="preserve"> </w:t>
      </w:r>
      <w:r>
        <w:t xml:space="preserve">transcribed from the published methods section;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after the project author corrected</w:t>
      </w:r>
      <w:r>
        <w:t xml:space="preserve"> </w:t>
      </w:r>
      <w:r>
        <w:t xml:space="preserve">oversights found by reading the pipeline’s own reports; and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 after further refinement</w:t>
      </w:r>
      <w:r>
        <w:t xml:space="preserve"> </w:t>
      </w:r>
      <w:r>
        <w:t xml:space="preserve">against benchmark feedback. Averaged over each project’s contrasts,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gains</w:t>
      </w:r>
      <w:r>
        <w:t xml:space="preserve"> </w:t>
      </w:r>
      <w:r>
        <w:t xml:space="preserve">+0.221 and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best</w:t>
      </w:r>
      <w:r>
        <w:t xml:space="preserve"> </w:t>
      </w:r>
      <w:r>
        <w:t xml:space="preserve">a further +0.031, roughly a sevenfold difference — but</w:t>
      </w:r>
      <w:r>
        <w:t xml:space="preserve"> </w:t>
      </w:r>
      <w:r>
        <w:rPr>
          <w:bCs/>
          <w:b/>
        </w:rPr>
        <w:t xml:space="preserve">each of</w:t>
      </w:r>
      <w:r>
        <w:rPr>
          <w:bCs/>
          <w:b/>
        </w:rPr>
        <w:t xml:space="preserve"> </w:t>
      </w:r>
      <w:r>
        <w:rPr>
          <w:bCs/>
          <w:b/>
        </w:rPr>
        <w:t xml:space="preserve">those segments rests on two projects only</w:t>
      </w:r>
      <w:r>
        <w:t xml:space="preserve">, since the rest resolve to the same run at more than</w:t>
      </w:r>
      <w:r>
        <w:t xml:space="preserve"> </w:t>
      </w:r>
      <w:r>
        <w:t xml:space="preserve">one tier. Four further projects never had a distinct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stage and so appear as single</w:t>
      </w:r>
      <w:r>
        <w:t xml:space="preserve"> </w:t>
      </w:r>
      <w:r>
        <w:t xml:space="preserve">verbatim-to-best segments; end to end they gain</w:t>
      </w:r>
      <w:r>
        <w:t xml:space="preserve"> </w:t>
      </w:r>
      <w:r>
        <w:rPr>
          <w:bCs/>
          <w:b/>
        </w:rPr>
        <w:t xml:space="preserve">+0.018</w:t>
      </w:r>
      <w:r>
        <w:t xml:space="preserve"> </w:t>
      </w:r>
      <w:r>
        <w:t xml:space="preserve">(</w:t>
      </w:r>
      <w:r>
        <w:rPr>
          <w:iCs/>
          <w:i/>
        </w:rPr>
        <w:t xml:space="preserve">n</w:t>
      </w:r>
      <w:r>
        <w:t xml:space="preserve"> </w:t>
      </w:r>
      <w:r>
        <w:t xml:space="preserve">= 4, range −0.008 to +0.048),</w:t>
      </w:r>
      <w:r>
        <w:t xml:space="preserve"> </w:t>
      </w:r>
      <w:r>
        <w:t xml:space="preserve">against +0.228 for the two that were reworked by hand. The large mis-specification gain is</w:t>
      </w:r>
      <w:r>
        <w:t xml:space="preserve"> </w:t>
      </w:r>
      <w:r>
        <w:t xml:space="preserve">therefore concentrated in the projects where an author actually rewrote the criteria after</w:t>
      </w:r>
      <w:r>
        <w:t xml:space="preserve"> </w:t>
      </w:r>
      <w:r>
        <w:t xml:space="preserve">reading the pipeline’s error reports, and is not a general property of refinement — though that</w:t>
      </w:r>
      <w:r>
        <w:t xml:space="preserve"> </w:t>
      </w:r>
      <w:r>
        <w:t xml:space="preserve">comparison is confounded with effort rather than controlled. An open circle marks a project</w:t>
      </w:r>
      <w:r>
        <w:t xml:space="preserve"> </w:t>
      </w:r>
      <w:r>
        <w:t xml:space="preserve">registered at several tiers that resolves to a single run, where no progression was measured. The</w:t>
      </w:r>
      <w:r>
        <w:t xml:space="preserve"> </w:t>
      </w:r>
      <w:r>
        <w:t xml:space="preserve">practical reading is that the live risk in LLM-assisted screening is mis-specifying the criteria,</w:t>
      </w:r>
      <w:r>
        <w:t xml:space="preserve"> </w:t>
      </w:r>
      <w:r>
        <w:t xml:space="preserve">not tuning them.</w:t>
      </w:r>
    </w:p>
    <w:p>
      <w:pPr>
        <w:pStyle w:val="BodyText"/>
      </w:pPr>
      <w:r>
        <w:rPr>
          <w:bCs/>
          <w:b/>
        </w:rPr>
        <w:t xml:space="preserve">Supplementary Fig. S2 | Most of the apparent screening imprecision is a difference in candidate</w:t>
      </w:r>
      <w:r>
        <w:rPr>
          <w:bCs/>
          <w:b/>
        </w:rPr>
        <w:t xml:space="preserve"> </w:t>
      </w:r>
      <w:r>
        <w:rPr>
          <w:bCs/>
          <w:b/>
        </w:rPr>
        <w:t xml:space="preserve">pool.</w:t>
      </w:r>
      <w:r>
        <w:t xml:space="preserve"> </w:t>
      </w:r>
      <w:r>
        <w:t xml:space="preserve">Precision against the expert inclusion list at each stage, for the same criteria applied</w:t>
      </w:r>
      <w:r>
        <w:t xml:space="preserve"> </w:t>
      </w:r>
      <w:r>
        <w:t xml:space="preserve">to two candidate pools: the articles returned by our PubMed search (solid) and the candidate list</w:t>
      </w:r>
      <w:r>
        <w:t xml:space="preserve"> </w:t>
      </w:r>
      <w:r>
        <w:t xml:space="preserve">obtained from the original authors (dotted).</w:t>
      </w:r>
      <w:r>
        <w:t xml:space="preserve"> </w:t>
      </w:r>
      <w:r>
        <w:rPr>
          <w:bCs/>
          <w:b/>
        </w:rPr>
        <w:t xml:space="preserve">Available for three projects only</w:t>
      </w:r>
      <w:r>
        <w:t xml:space="preserve"> </w:t>
      </w:r>
      <w:r>
        <w:t xml:space="preserve">— dementia,</w:t>
      </w:r>
      <w:r>
        <w:t xml:space="preserve"> </w:t>
      </w:r>
      <w:r>
        <w:t xml:space="preserve">emotion regulation and social. Holding the pool fixed raises precision at every stage, by +0.160 at</w:t>
      </w:r>
      <w:r>
        <w:t xml:space="preserve"> </w:t>
      </w:r>
      <w:r>
        <w:t xml:space="preserve">analysis-level selection (0.497 → 0.657), while recall moves far less, which is the control that</w:t>
      </w:r>
      <w:r>
        <w:t xml:space="preserve"> </w:t>
      </w:r>
      <w:r>
        <w:t xml:space="preserve">makes the comparison interpretable: the gain reflects which articles were ever considered rather</w:t>
      </w:r>
      <w:r>
        <w:t xml:space="preserve"> </w:t>
      </w:r>
      <w:r>
        <w:t xml:space="preserve">than which were correctly judged.</w:t>
      </w:r>
    </w:p>
    <w:p>
      <w:pPr>
        <w:pStyle w:val="BodyText"/>
      </w:pPr>
      <w:r>
        <w:rPr>
          <w:bCs/>
          <w:b/>
        </w:rPr>
        <w:t xml:space="preserve">Supplementary Fig. S3 | Each contrast beats a size-matched random selection of analyses.</w:t>
      </w:r>
      <w:r>
        <w:t xml:space="preserve"> </w:t>
      </w:r>
      <w:r>
        <w:t xml:space="preserve">Observed</w:t>
      </w:r>
      <w:r>
        <w:t xml:space="preserve"> </w:t>
      </w:r>
      <w:r>
        <w:rPr>
          <w:iCs/>
          <w:i/>
        </w:rPr>
        <w:t xml:space="preserve">R</w:t>
      </w:r>
      <w:r>
        <w:t xml:space="preserve">² against the mean of a size-matched null for each of 28 contrasts, with the null’s</w:t>
      </w:r>
      <w:r>
        <w:t xml:space="preserve"> </w:t>
      </w:r>
      <w:r>
        <w:t xml:space="preserve">5th–95th percentile range. For each contrast the null draws the same number of analyses at random</w:t>
      </w:r>
      <w:r>
        <w:t xml:space="preserve"> </w:t>
      </w:r>
      <w:r>
        <w:t xml:space="preserve">from that contrast’s candidate pool and re-fits the meta-analysis, 500 times, so it controls for</w:t>
      </w:r>
      <w:r>
        <w:t xml:space="preserve"> </w:t>
      </w:r>
      <w:r>
        <w:t xml:space="preserve">the possibility that the pipeline’s advantage comes from pooling fewer analyses rather than better</w:t>
      </w:r>
      <w:r>
        <w:t xml:space="preserve"> </w:t>
      </w:r>
      <w:r>
        <w:t xml:space="preserve">ones. Median Δ</w:t>
      </w:r>
      <w:r>
        <w:rPr>
          <w:iCs/>
          <w:i/>
        </w:rPr>
        <w:t xml:space="preserve">R</w:t>
      </w:r>
      <w:r>
        <w:t xml:space="preserve">² is +0.179 and 25 of 28 contrasts clear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0.05. The null is widest for the</w:t>
      </w:r>
      <w:r>
        <w:t xml:space="preserve"> </w:t>
      </w:r>
      <w:r>
        <w:t xml:space="preserve">two smallest projects, where few analyses are available to permute.</w:t>
      </w:r>
    </w:p>
    <w:p>
      <w:pPr>
        <w:pStyle w:val="BodyText"/>
      </w:pPr>
      <w:r>
        <w:rPr>
          <w:bCs/>
          <w:b/>
        </w:rPr>
        <w:t xml:space="preserve">Supplementary Fig. S4 | Reference, baseline and pipeline maps for every contrast.</w:t>
      </w:r>
      <w:r>
        <w:t xml:space="preserve"> </w:t>
      </w:r>
      <w:r>
        <w:t xml:space="preserve">Axial slices</w:t>
      </w:r>
      <w:r>
        <w:t xml:space="preserve"> </w:t>
      </w:r>
      <w:r>
        <w:t xml:space="preserve">at four levels for all 28 contrasts, showing the expert reference map, the search-only baseline and</w:t>
      </w:r>
      <w:r>
        <w:t xml:space="preserve"> </w:t>
      </w:r>
      <w:r>
        <w:t xml:space="preserve">the full pipeline side by side,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 — the same threshold at which the</w:t>
      </w:r>
      <w:r>
        <w:t xml:space="preserve"> </w:t>
      </w:r>
      <w:r>
        <w:t xml:space="preserve">reported overlap statistics are computed. Included in full rather than as selected examples, so the</w:t>
      </w:r>
      <w:r>
        <w:t xml:space="preserve"> </w:t>
      </w:r>
      <w:r>
        <w:t xml:space="preserve">contrasts where the pipeline gains little or loses are visible alongside those where it gains most.</w:t>
      </w:r>
    </w:p>
    <w:p>
      <w:pPr>
        <w:pStyle w:val="BodyText"/>
      </w:pPr>
      <w:r>
        <w:rPr>
          <w:bCs/>
          <w:b/>
        </w:rPr>
        <w:t xml:space="preserve">Supplementary Fig. S5 | Measured model-use cost per pipeline stage.</w:t>
      </w:r>
      <w:r>
        <w:t xml:space="preserve"> </w:t>
      </w:r>
      <w:r>
        <w:t xml:space="preserve">Cost per LLM call for each</w:t>
      </w:r>
      <w:r>
        <w:t xml:space="preserve"> </w:t>
      </w:r>
      <w:r>
        <w:t xml:space="preserve">stage, split by input, cached input and output tokens, from token accounting recorded during the</w:t>
      </w:r>
      <w:r>
        <w:t xml:space="preserve"> </w:t>
      </w:r>
      <w:r>
        <w:t xml:space="preserve">runs rather than estimated from list prices. Abstract screening costs $0.0023 per call, full-text</w:t>
      </w:r>
      <w:r>
        <w:t xml:space="preserve"> </w:t>
      </w:r>
      <w:r>
        <w:t xml:space="preserve">screening $0.0138, coordinate parsing $0.0059 and analysis selection $0.0211; output tokens</w:t>
      </w:r>
      <w:r>
        <w:t xml:space="preserve"> </w:t>
      </w:r>
      <w:r>
        <w:t xml:space="preserve">dominate the cheapest stage. A complete project averages $21.55 and all nine cost $194 to build</w:t>
      </w:r>
      <w:r>
        <w:t xml:space="preserve"> </w:t>
      </w:r>
      <w:r>
        <w:t xml:space="preserve">from scratch. Cost per study that reaches the map ($0.085 median) is a more stable unit than cost</w:t>
      </w:r>
      <w:r>
        <w:t xml:space="preserve"> </w:t>
      </w:r>
      <w:r>
        <w:t xml:space="preserve">per call, because the stages differ by an order of magnitude in how many calls they make.</w:t>
      </w:r>
    </w:p>
    <w:bookmarkEnd w:id="43"/>
    <w:bookmarkStart w:id="44" w:name="X0e6005aef2dc115b03ca4b74639a0a6de9b6771"/>
    <w:p>
      <w:pPr>
        <w:pStyle w:val="Heading2"/>
      </w:pPr>
      <w:r>
        <w:t xml:space="preserve">Supplementary S2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4"/>
    <w:bookmarkStart w:id="45" w:name="X20ef6d18cd9fc96b08bb2fa517724e5662b38ba"/>
    <w:p>
      <w:pPr>
        <w:pStyle w:val="Heading2"/>
      </w:pPr>
      <w:r>
        <w:t xml:space="preserve">Text-to-map baselines — a term is not an analysis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45"/>
    <w:bookmarkStart w:id="46" w:name="Xc2afe02dafd829f6838eb6ad6997c3a25bf69f0"/>
    <w:p>
      <w:pPr>
        <w:pStyle w:val="Heading2"/>
      </w:pPr>
      <w:r>
        <w:t xml:space="preserve">Raw denominator, retrieval as its own stage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scaffolding-delete-before-submission"/>
    <w:p>
      <w:pPr>
        <w:pStyle w:val="Heading1"/>
      </w:pPr>
      <w:r>
        <w:t xml:space="preserve">SCAFFOLDING — DELETE BEFORE SUBMISSION</w:t>
      </w:r>
    </w:p>
    <w:bookmarkStart w:id="48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48"/>
    <w:bookmarkStart w:id="49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the unnumbered precision-recall figure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49"/>
    <w:bookmarkStart w:id="50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2026-09-18T20:07:18Z</dcterms:created>
  <dcterms:modified xsi:type="dcterms:W3CDTF">2026-09-18T20:07:18Z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