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odyText"/>
      </w:pPr>
      <w:r>
        <w:t xml:space="preserve">To isolate the effects of article screening and analysis-level selection, we evaluated each</w:t>
      </w:r>
      <w:r>
        <w:t xml:space="preserve"> </w:t>
      </w:r>
      <w:r>
        <w:t xml:space="preserve">component against a corresponding baseline (Fig. 6). The screening-only condition applied</w:t>
      </w:r>
      <w:r>
        <w:t xml:space="preserve"> </w:t>
      </w:r>
      <w:r>
        <w:t xml:space="preserve">article-level eligibility criteria and pooled all parsed analyses from retained articles; its</w:t>
      </w:r>
      <w:r>
        <w:t xml:space="preserve"> </w:t>
      </w:r>
      <w:r>
        <w:t xml:space="preserve">baseline pooled all available analyses from the original PubMed search results. The</w:t>
      </w:r>
      <w:r>
        <w:t xml:space="preserve"> </w:t>
      </w:r>
      <w:r>
        <w:t xml:space="preserve">analysis-selection-only condition began with expert-included articles from NeuroMetaBench and</w:t>
      </w:r>
      <w:r>
        <w:t xml:space="preserve"> </w:t>
      </w:r>
      <w:r>
        <w:t xml:space="preserve">selected analyses using contrast-specific criteria, without article screening. Its baseline</w:t>
      </w:r>
      <w:r>
        <w:t xml:space="preserve"> </w:t>
      </w:r>
      <w:r>
        <w:t xml:space="preserve">pooled all parsed analyses from the same expert-included articles, holding the article pool</w:t>
      </w:r>
      <w:r>
        <w:t xml:space="preserve"> </w:t>
      </w:r>
      <w:r>
        <w:t xml:space="preserve">constant.</w:t>
      </w:r>
    </w:p>
    <w:p>
      <w:pPr>
        <w:pStyle w:val="BodyText"/>
      </w:pPr>
      <w:r>
        <w:t xml:space="preserve">Article screening produced little additional spatial correspondence with the benchmark (mean</w:t>
      </w:r>
      <w:r>
        <w:t xml:space="preserve"> </w:t>
      </w:r>
      <w:r>
        <w:t xml:space="preserve">Δ</w:t>
      </w:r>
      <w:r>
        <w:rPr>
          <w:iCs/>
          <w:i/>
        </w:rPr>
        <w:t xml:space="preserve">r</w:t>
      </w:r>
      <w:r>
        <w:t xml:space="preserve">², +0.005). Because 27 of 28 search baselines already targeted individual contrasts, this</w:t>
      </w:r>
      <w:r>
        <w:t xml:space="preserve"> </w:t>
      </w:r>
      <w:r>
        <w:t xml:space="preserve">comparison measures the additional benefit of screening beyond targeted retrieval. In contrast,</w:t>
      </w:r>
      <w:r>
        <w:t xml:space="preserve"> </w:t>
      </w:r>
      <w:r>
        <w:t xml:space="preserve">analysis selection within the expert-curated article pool improved correspondence in 19 of 28</w:t>
      </w:r>
      <w:r>
        <w:t xml:space="preserve"> </w:t>
      </w:r>
      <w:r>
        <w:t xml:space="preserve">contrasts (mean Δ</w:t>
      </w:r>
      <w:r>
        <w:rPr>
          <w:iCs/>
          <w:i/>
        </w:rPr>
        <w:t xml:space="preserve">r</w:t>
      </w:r>
      <w:r>
        <w:t xml:space="preserve">², +0.100; median, +0.075). This mean gain was similar to that observed when</w:t>
      </w:r>
      <w:r>
        <w:t xml:space="preserve"> </w:t>
      </w:r>
      <w:r>
        <w:t xml:space="preserve">adding analysis selection after article screening in the end-to-end workflow (mean Δ</w:t>
      </w:r>
      <w:r>
        <w:rPr>
          <w:iCs/>
          <w:i/>
        </w:rPr>
        <w:t xml:space="preserve">r</w:t>
      </w:r>
      <w:r>
        <w:t xml:space="preserve">², +0.109).</w:t>
      </w:r>
      <w:r>
        <w:t xml:space="preserve"> </w:t>
      </w:r>
      <w:r>
        <w:t xml:space="preserve">That end-to-end sequence also permits a direct comparison of the two steps, since both are</w:t>
      </w:r>
      <w:r>
        <w:t xml:space="preserve"> </w:t>
      </w:r>
      <w:r>
        <w:t xml:space="preserve">measured against a shared baseline on the same runs and article pool: analysis selection exceeded</w:t>
      </w:r>
      <w:r>
        <w:t xml:space="preserve"> </w:t>
      </w:r>
      <w:r>
        <w:t xml:space="preserve">article screening by a mean Δ</w:t>
      </w:r>
      <w:r>
        <w:rPr>
          <w:iCs/>
          <w:i/>
        </w:rPr>
        <w:t xml:space="preserve">r</w:t>
      </w:r>
      <w:r>
        <w:t xml:space="preserve">² of +0.105 (95% CI +0.035 to +0.201, cluster bootstrap over</w:t>
      </w:r>
      <w:r>
        <w:t xml:space="preserve"> </w:t>
      </w:r>
      <w:r>
        <w:t xml:space="preserve">projects; Wilcoxon signed-rank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0.016 across eight projects) and was the larger of the two in</w:t>
      </w:r>
      <w:r>
        <w:t xml:space="preserve"> </w:t>
      </w:r>
      <w:r>
        <w:t xml:space="preserve">20 of 28 contrasts. A separate control showed that selected analyses outperformed equally sized</w:t>
      </w:r>
      <w:r>
        <w:t xml:space="preserve"> </w:t>
      </w:r>
      <w:r>
        <w:t xml:space="preserve">random subsets in 25 of 28 contrasts (per-contrast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0.05; Supplementary Fig. S3), indicating</w:t>
      </w:r>
      <w:r>
        <w:t xml:space="preserve"> </w:t>
      </w:r>
      <w:r>
        <w:t xml:space="preserve">that selecting fewer analyses alone did not explain the benefit. Together, these results support</w:t>
      </w:r>
      <w:r>
        <w:t xml:space="preserve"> </w:t>
      </w:r>
      <w:r>
        <w:t xml:space="preserve">analysis-level selection as a major contributor to improved spatial correspondence.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pStyle w:val="BlockText"/>
      </w:pPr>
      <w:r>
        <w:rPr>
          <w:bCs/>
          <w:b/>
        </w:rPr>
        <w:t xml:space="preserve">⚠ THE FIGURE NO LONGER SHOWS THIS DECOMPOSITION.</w:t>
      </w:r>
      <w:r>
        <w:t xml:space="preserve"> </w:t>
      </w:r>
      <w:r>
        <w:t xml:space="preserve">Panel b was repointed 2026-09-18 at the</w:t>
      </w:r>
      <w:r>
        <w:t xml:space="preserve"> </w:t>
      </w:r>
      <w:r>
        <w:t xml:space="preserve">annotation-only arm (pool held fixed at the expert inclusion list): 0.521 → 0.621, mean</w:t>
      </w:r>
      <w:r>
        <w:t xml:space="preserve"> </w:t>
      </w:r>
      <w:r>
        <w:rPr>
          <w:bCs/>
          <w:b/>
        </w:rPr>
        <w:t xml:space="preserve">+0.100</w:t>
      </w:r>
      <w:r>
        <w:t xml:space="preserve">, median +0.075,</w:t>
      </w:r>
      <w:r>
        <w:t xml:space="preserve"> </w:t>
      </w:r>
      <w:r>
        <w:rPr>
          <w:bCs/>
          <w:b/>
        </w:rPr>
        <w:t xml:space="preserve">19/28</w:t>
      </w:r>
      <w:r>
        <w:t xml:space="preserve"> </w:t>
      </w:r>
      <w:r>
        <w:t xml:space="preserve">improve. That is an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estimate of analysis</w:t>
      </w:r>
      <w:r>
        <w:t xml:space="preserve"> </w:t>
      </w:r>
      <w:r>
        <w:t xml:space="preserve">selection, not the chain’s second step, so panels a and b do not sum and the +0.114 total is</w:t>
      </w:r>
      <w:r>
        <w:t xml:space="preserve"> </w:t>
      </w:r>
      <w:r>
        <w:t xml:space="preserve">no longer readable off the figure. Two consequences to settle: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abstract</w:t>
      </w:r>
      <w:r>
        <w:t xml:space="preserve"> </w:t>
      </w:r>
      <w:r>
        <w:t xml:space="preserve">quotes +0.109 and</w:t>
      </w:r>
      <w:r>
        <w:t xml:space="preserve"> </w:t>
      </w:r>
      <w:r>
        <w:t xml:space="preserve">“</w:t>
      </w:r>
      <w:r>
        <w:t xml:space="preserve">96% of it</w:t>
      </w:r>
      <w:r>
        <w:t xml:space="preserve">”</w:t>
      </w:r>
      <w:r>
        <w:t xml:space="preserve"> </w:t>
      </w:r>
      <w:r>
        <w:t xml:space="preserve">from the chain. Either keep those and name</w:t>
      </w:r>
      <w:r>
        <w:t xml:space="preserve"> </w:t>
      </w:r>
      <w:r>
        <w:t xml:space="preserve">their source in the text, or switch the abstract to the figure’s +0.100.</w:t>
      </w:r>
    </w:p>
    <w:p>
      <w:pPr>
        <w:numPr>
          <w:ilvl w:val="0"/>
          <w:numId w:val="1011"/>
        </w:numPr>
        <w:pStyle w:val="Compact"/>
      </w:pPr>
      <w:r>
        <w:t xml:space="preserve">The two estimates converging (+0.109 end-to-end, +0.100 with the pool fixed) is arguably a</w:t>
      </w:r>
      <w:r>
        <w:t xml:space="preserve"> </w:t>
      </w:r>
      <w:r>
        <w:t xml:space="preserve">stronger claim than one additive split, since they fail differently. Worth one sentence.</w:t>
      </w:r>
    </w:p>
    <w:p>
      <w:pPr>
        <w:numPr>
          <w:ilvl w:val="0"/>
          <w:numId w:val="1012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3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4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4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6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6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6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1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M1.x sub-areas were written against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’s 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FirstParagraph"/>
      </w:pPr>
      <w:r>
        <w:t xml:space="preserve">A project is specified by a single YAML configuration giving the PubMed query, the article-level</w:t>
      </w:r>
      <w:r>
        <w:t xml:space="preserve"> </w:t>
      </w:r>
      <w:r>
        <w:t xml:space="preserve">eligibility criteria, and one set of analysis-level criteria per target contrast. The pipeline</w:t>
      </w:r>
      <w:r>
        <w:t xml:space="preserve"> </w:t>
      </w:r>
      <w:r>
        <w:t xml:space="preserve">executes seven stages in order: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Search.</w:t>
      </w:r>
      <w:r>
        <w:t xml:space="preserve"> </w:t>
      </w:r>
      <w:r>
        <w:t xml:space="preserve">PubMed via the Entrez API, with an explicit query, date range and a cap of 5,000</w:t>
      </w:r>
      <w:r>
        <w:t xml:space="preserve"> </w:t>
      </w:r>
      <w:r>
        <w:t xml:space="preserve">records per project.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Abstract screening.</w:t>
      </w:r>
      <w:r>
        <w:t xml:space="preserve"> </w:t>
      </w:r>
      <w:r>
        <w:t xml:space="preserve">Each returned record is judged against the article-level criteria.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Full-text retrieval.</w:t>
      </w:r>
      <w:r>
        <w:t xml:space="preserve"> </w:t>
      </w:r>
      <w:r>
        <w:t xml:space="preserve">Full text is obtained from PubMed Central through pubget and from</w:t>
      </w:r>
      <w:r>
        <w:t xml:space="preserve"> </w:t>
      </w:r>
      <w:r>
        <w:t xml:space="preserve">Elsevier through its text-mining API. Both ingest coordinate tables themselves; ACE is not</w:t>
      </w:r>
      <w:r>
        <w:t xml:space="preserve"> </w:t>
      </w:r>
      <w:r>
        <w:t xml:space="preserve">used.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Full-text screening.</w:t>
      </w:r>
      <w:r>
        <w:t xml:space="preserve"> </w:t>
      </w:r>
      <w:r>
        <w:t xml:space="preserve">Retained records are re-judged against the same criteria with the</w:t>
      </w:r>
      <w:r>
        <w:t xml:space="preserve"> </w:t>
      </w:r>
      <w:r>
        <w:t xml:space="preserve">full text in context. Records whose retrieved text is incomplete are recorded as</w:t>
      </w:r>
      <w:r>
        <w:t xml:space="preserve"> </w:t>
      </w:r>
      <w:r>
        <w:rPr>
          <w:rStyle w:val="VerbatimChar"/>
        </w:rPr>
        <w:t xml:space="preserve">fulltext_incomplete</w:t>
      </w:r>
      <w:r>
        <w:t xml:space="preserve"> </w:t>
      </w:r>
      <w:r>
        <w:t xml:space="preserve">rather than as rejections (see</w:t>
      </w:r>
      <w:r>
        <w:t xml:space="preserve"> </w:t>
      </w:r>
      <w:r>
        <w:rPr>
          <w:iCs/>
          <w:i/>
        </w:rPr>
        <w:t xml:space="preserve">Recall against an attainable</w:t>
      </w:r>
      <w:r>
        <w:rPr>
          <w:iCs/>
          <w:i/>
        </w:rPr>
        <w:t xml:space="preserve"> </w:t>
      </w:r>
      <w:r>
        <w:rPr>
          <w:iCs/>
          <w:i/>
        </w:rPr>
        <w:t xml:space="preserve">denominator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Coordinate parsing.</w:t>
      </w:r>
      <w:r>
        <w:t xml:space="preserve"> </w:t>
      </w:r>
      <w:r>
        <w:t xml:space="preserve">Candidate coordinate tables are identified heuristically, then an LLM</w:t>
      </w:r>
      <w:r>
        <w:t xml:space="preserve"> </w:t>
      </w:r>
      <w:r>
        <w:t xml:space="preserve">separates each table into the distinct analyses that produced it, with their coordinates.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Analysis-level selection.</w:t>
      </w:r>
      <w:r>
        <w:t xml:space="preserve"> </w:t>
      </w:r>
      <w:r>
        <w:t xml:space="preserve">Each parsed analysis is judged against the contrast-specific</w:t>
      </w:r>
      <w:r>
        <w:t xml:space="preserve"> </w:t>
      </w:r>
      <w:r>
        <w:t xml:space="preserve">criteria, with the article’s full text as context, and assigned to the contrasts it satisfies.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Output and meta-analysis.</w:t>
      </w:r>
      <w:r>
        <w:t xml:space="preserve"> </w:t>
      </w:r>
      <w:r>
        <w:t xml:space="preserve">Selected analyses are written as a NiMADS studyset and</w:t>
      </w:r>
      <w:r>
        <w:t xml:space="preserve"> </w:t>
      </w:r>
      <w:r>
        <w:t xml:space="preserve">submitted to coordinate-based meta-analysis.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Model.</w:t>
      </w:r>
      <w:r>
        <w:t xml:space="preserve"> </w:t>
      </w:r>
      <w:r>
        <w:t xml:space="preserve">All four LLM stages use</w:t>
      </w:r>
      <w:r>
        <w:t xml:space="preserve"> </w:t>
      </w:r>
      <w:r>
        <w:rPr>
          <w:rStyle w:val="VerbatimChar"/>
        </w:rPr>
        <w:t xml:space="preserve">gpt-5-mini-2025-08-07</w:t>
      </w:r>
      <w:r>
        <w:t xml:space="preserve">. Screening and selection use</w:t>
      </w:r>
      <w:r>
        <w:t xml:space="preserve"> </w:t>
      </w:r>
      <w:r>
        <w:t xml:space="preserve">structured outputs against Pydantic schemas, so every decision carries a machine-readable</w:t>
      </w:r>
      <w:r>
        <w:t xml:space="preserve"> </w:t>
      </w:r>
      <w:r>
        <w:t xml:space="preserve">verdict, the criteria applied, and free-text reasoning.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Caching and provenance.</w:t>
      </w:r>
      <w:r>
        <w:t xml:space="preserve"> </w:t>
      </w:r>
      <w:r>
        <w:t xml:space="preserve">Stage artifacts are hashed and recorded in an execution manifest,</w:t>
      </w:r>
      <w:r>
        <w:t xml:space="preserve"> </w:t>
      </w:r>
      <w:r>
        <w:t xml:space="preserve">so re-runs skip completed stages and every reported figure traces to a specific run directory.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Meta-analysis.</w:t>
      </w:r>
      <w:r>
        <w:t xml:space="preserve"> </w:t>
      </w:r>
      <w:r>
        <w:t xml:space="preserve">Multilevel kernel density analysis (MKDA) in NiMARE 0.2.1, with a 10 mm</w:t>
      </w:r>
      <w:r>
        <w:t xml:space="preserve"> </w:t>
      </w:r>
      <w:r>
        <w:t xml:space="preserve">spherical kernel, the maximum retained where spheres overlap, summary statistics converted to</w:t>
      </w:r>
      <w:r>
        <w:t xml:space="preserve"> </w:t>
      </w:r>
      <w:r>
        <w:rPr>
          <w:iCs/>
          <w:i/>
        </w:rPr>
        <w:t xml:space="preserve">p</w:t>
      </w:r>
      <w:r>
        <w:t xml:space="preserve">-values against an approximate null, and Benjamini–Hochberg FDR correction.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Retrieval vintage.</w:t>
      </w:r>
      <w:r>
        <w:t xml:space="preserve"> </w:t>
      </w:r>
      <w:r>
        <w:t xml:space="preserve">All arms within a comparison share a retrieval vintage. Comparing arms</w:t>
      </w:r>
      <w:r>
        <w:t xml:space="preserve"> </w:t>
      </w:r>
      <w:r>
        <w:t xml:space="preserve">built from corpora fetched at different times confounds pipeline differences with changes in</w:t>
      </w:r>
      <w:r>
        <w:t xml:space="preserve"> </w:t>
      </w:r>
      <w:r>
        <w:t xml:space="preserve">what was available, which we learned by doing it (</w:t>
      </w:r>
      <w:r>
        <w:rPr>
          <w:rStyle w:val="VerbatimChar"/>
        </w:rPr>
        <w:t xml:space="preserve">PAPER_OUTLINE.md:956</w:t>
      </w:r>
      <w:r>
        <w:t xml:space="preserve">).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FirstParagraph"/>
      </w:pPr>
      <w:r>
        <w:t xml:space="preserve">The benchmark comprises nine published, expert-conducted meta-analyses with 35 annotated target</w:t>
      </w:r>
      <w:r>
        <w:t xml:space="preserve"> </w:t>
      </w:r>
      <w:r>
        <w:t xml:space="preserve">contrasts,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</w:t>
      </w:r>
      <w:r>
        <w:t xml:space="preserve"> </w:t>
      </w:r>
      <w:r>
        <w:t xml:space="preserve">truth for exclusions.</w:t>
      </w:r>
    </w:p>
    <w:p>
      <w:pPr>
        <w:numPr>
          <w:ilvl w:val="0"/>
          <w:numId w:val="1019"/>
        </w:numPr>
        <w:pStyle w:val="Compact"/>
      </w:pPr>
      <w:r>
        <w:t xml:space="preserve">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contrasts — cannabis, opioids and stimulants — are excluded</w:t>
      </w:r>
      <w:r>
        <w:t xml:space="preserve"> </w:t>
      </w:r>
      <w:r>
        <w:t xml:space="preserve">because the source paper (Hill-Bowen et al. 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rPr>
          <w:bCs/>
          <w:b/>
        </w:rPr>
        <w:t xml:space="preserve">240</w:t>
      </w:r>
      <w:r>
        <w:t xml:space="preserve">:109625,</w:t>
      </w:r>
      <w:r>
        <w:t xml:space="preserve"> </w:t>
      </w:r>
      <w:r>
        <w:t xml:space="preserve">PMID 36115222) reports no significant result for them, leaving an empty reference map that no</w:t>
      </w:r>
      <w:r>
        <w:t xml:space="preserve"> </w:t>
      </w:r>
      <w:r>
        <w:t xml:space="preserve">similarity metric can score.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nicotine</w:t>
      </w:r>
      <w:r>
        <w:t xml:space="preserve"> </w:t>
      </w:r>
      <w:r>
        <w:t xml:space="preserve">from the same paper 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. It has a published map that we fail to</w:t>
      </w:r>
      <w:r>
        <w:t xml:space="preserve"> </w:t>
      </w:r>
      <w:r>
        <w:t xml:space="preserve">reproduce from identical inputs, which is a reproduction failure and belongs in the</w:t>
      </w:r>
      <w:r>
        <w:t xml:space="preserve"> </w:t>
      </w:r>
      <w:r>
        <w:t xml:space="preserve">denominator.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map-level</w:t>
      </w:r>
      <w:r>
        <w:t xml:space="preserve"> </w:t>
      </w:r>
      <w:r>
        <w:t xml:space="preserve">comparisons (Figs 4 and 6, Supplementary Fig. S3) additionally exclude the</w:t>
      </w:r>
      <w:r>
        <w:t xml:space="preserve"> </w:t>
      </w:r>
      <w:r>
        <w:t xml:space="preserve">dementia project, leaving 28 contrasts across eight projects. Its reference meta-analysis pools</w:t>
      </w:r>
      <w:r>
        <w:t xml:space="preserve"> </w:t>
      </w:r>
      <w:r>
        <w:t xml:space="preserve">coordinates across studies, so the number of analyses entering its maps is not comparable with</w:t>
      </w:r>
      <w:r>
        <w:t xml:space="preserve"> </w:t>
      </w:r>
      <w:r>
        <w:t xml:space="preserve">projects whose analyses come from individual articles. Dementia is retained in the</w:t>
      </w:r>
      <w:r>
        <w:t xml:space="preserve"> </w:t>
      </w:r>
      <w:r>
        <w:t xml:space="preserve">analysis-level comparisons (Figs 2 and 3), where its matched analyses score normally.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FirstParagraph"/>
      </w:pPr>
      <w:r>
        <w:t xml:space="preserve">Two similarity metrics are used, each on the map it is defined for:</w:t>
      </w:r>
    </w:p>
    <w:p>
      <w:pPr>
        <w:numPr>
          <w:ilvl w:val="0"/>
          <w:numId w:val="1020"/>
        </w:numPr>
        <w:pStyle w:val="Compact"/>
      </w:pPr>
      <w:r>
        <w:rPr>
          <w:iCs/>
          <w:i/>
          <w:bCs/>
          <w:b/>
        </w:rPr>
        <w:t xml:space="preserve">r</w:t>
      </w:r>
      <w:r>
        <w:rPr>
          <w:bCs/>
          <w:b/>
        </w:rPr>
        <w:t xml:space="preserve">² compares unthresholded maps.</w:t>
      </w:r>
      <w:r>
        <w:t xml:space="preserve"> </w:t>
      </w:r>
      <w:r>
        <w:t xml:space="preserve">The squared Pearson correlation between the two</w:t>
      </w:r>
      <w:r>
        <w:t xml:space="preserve"> </w:t>
      </w:r>
      <w:r>
        <w:t xml:space="preserve">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over voxels finite in both.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Dice compares FDR-corrected thresholded maps</w:t>
      </w:r>
      <w:r>
        <w:t xml:space="preserve">,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</w:t>
      </w:r>
    </w:p>
    <w:p>
      <w:pPr>
        <w:pStyle w:val="FirstParagraph"/>
      </w:pP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≤ 0.05. It is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</w:p>
    <w:p>
      <w:pPr>
        <w:pStyle w:val="BodyText"/>
      </w:pPr>
      <w:r>
        <w:rPr>
          <w:iCs/>
          <w:i/>
          <w:bCs/>
          <w:b/>
        </w:rPr>
        <w:t xml:space="preserve">r</w:t>
      </w:r>
      <w:r>
        <w:rPr>
          <w:bCs/>
          <w:b/>
        </w:rPr>
        <w:t xml:space="preserve">² is the reported metric throughout.</w:t>
      </w:r>
      <w:r>
        <w:t xml:space="preserve"> </w:t>
      </w:r>
      <w:r>
        <w:t xml:space="preserve">Dice is degenerate on this corpus — four</w:t>
      </w:r>
      <w:r>
        <w:t xml:space="preserve"> </w:t>
      </w:r>
      <w:r>
        <w:t xml:space="preserve">substance-use contrasts sit at 0.000 for every arm, so it cannot rank them — and it reverses sign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, whose map is correct but sparse, which a thresholded overlap measure punishes</w:t>
      </w:r>
      <w:r>
        <w:t xml:space="preserve"> </w:t>
      </w:r>
      <w:r>
        <w:t xml:space="preserve">and a correlation does not. All correlations in this corpus are positive, so squaring discards no</w:t>
      </w:r>
      <w:r>
        <w:t xml:space="preserve"> </w:t>
      </w:r>
      <w:r>
        <w:t xml:space="preserve">directional information.</w:t>
      </w:r>
    </w:p>
    <w:bookmarkEnd w:id="32"/>
    <w:bookmarkStart w:id="33" w:name="X091edbdc1b01a4f68c4223467ff931d4b68cd33"/>
    <w:p>
      <w:pPr>
        <w:pStyle w:val="Heading2"/>
      </w:pPr>
      <w:r>
        <w:t xml:space="preserve">Matching automated analyses to expert records</w:t>
      </w:r>
    </w:p>
    <w:p>
      <w:pPr>
        <w:pStyle w:val="FirstParagraph"/>
      </w:pPr>
      <w:r>
        <w:t xml:space="preserve">Automatically parsed analyses are matched to expert-curated records by optimal one-to-one</w:t>
      </w:r>
      <w:r>
        <w:t xml:space="preserve"> </w:t>
      </w:r>
      <w:r>
        <w:t xml:space="preserve">assignment (Hungarian algorithm) on a combined coordinate- and label-similarity score.</w:t>
      </w:r>
      <w:r>
        <w:t xml:space="preserve"> </w:t>
      </w:r>
      <w:r>
        <w:t xml:space="preserve">Coordinates reported in Talairach space are transformed where a mapping is available, and</w:t>
      </w:r>
      <w:r>
        <w:t xml:space="preserve"> </w:t>
      </w:r>
      <w:r>
        <w:t xml:space="preserve">analyses whose coordinates are reported at decimal precision are handled under an explicit policy</w:t>
      </w:r>
      <w:r>
        <w:t xml:space="preserve"> </w:t>
      </w:r>
      <w:r>
        <w:t xml:space="preserve">rather than silently dropped. Matching is performed only for articles present in both the expert</w:t>
      </w:r>
      <w:r>
        <w:t xml:space="preserve"> </w:t>
      </w:r>
      <w:r>
        <w:t xml:space="preserve">record and the automated output; articles yielding no automated analyses are excluded from</w:t>
      </w:r>
      <w:r>
        <w:t xml:space="preserve"> </w:t>
      </w:r>
      <w:r>
        <w:t xml:space="preserve">analysis-level comparisons and accounted for at the retrieval and parsing stages instead.</w:t>
      </w:r>
    </w:p>
    <w:bookmarkEnd w:id="33"/>
    <w:bookmarkStart w:id="34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FirstParagraph"/>
      </w:pPr>
      <w:r>
        <w:rPr>
          <w:rStyle w:val="VerbatimChar"/>
        </w:rPr>
        <w:t xml:space="preserve">scripts/compute_attainable_recall.py</w:t>
      </w:r>
      <w:r>
        <w:t xml:space="preserve">. Each stage divides by the gold studies it could have</w:t>
      </w:r>
      <w:r>
        <w:t xml:space="preserve"> </w:t>
      </w:r>
      <w:r>
        <w:t xml:space="preserve">kept: one availability failure leaves the denominator at the stage where it occurs, and no</w:t>
      </w:r>
      <w:r>
        <w:t xml:space="preserve"> </w:t>
      </w:r>
      <w:r>
        <w:t xml:space="preserve">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 and</w:t>
            </w:r>
            <w:r>
              <w:t xml:space="preserve"> </w:t>
            </w:r>
            <w:r>
              <w:rPr>
                <w:rStyle w:val="VerbatimChar"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select from</w:t>
            </w:r>
          </w:p>
        </w:tc>
      </w:tr>
    </w:tbl>
    <w:p>
      <w:pPr>
        <w:pStyle w:val="BodyText"/>
      </w:pPr>
      <w:r>
        <w:t xml:space="preserve">Two points a reviewer will probe:</w:t>
      </w:r>
    </w:p>
    <w:p>
      <w:pPr>
        <w:numPr>
          <w:ilvl w:val="0"/>
          <w:numId w:val="1021"/>
        </w:numPr>
        <w:pStyle w:val="Compact"/>
      </w:pPr>
      <w:r>
        <w:t xml:space="preserve">The analysis-selection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. That set</w:t>
      </w:r>
      <w:r>
        <w:t xml:space="preserve"> </w:t>
      </w:r>
      <w:r>
        <w:t xml:space="preserve">excludes everything full-text screening discarded, and would therefore forgive every full-text</w:t>
      </w:r>
      <w:r>
        <w:t xml:space="preserve"> </w:t>
      </w:r>
      <w:r>
        <w:t xml:space="preserve">rejection and drive recall towards 1.</w:t>
      </w:r>
    </w:p>
    <w:p>
      <w:pPr>
        <w:numPr>
          <w:ilvl w:val="0"/>
          <w:numId w:val="1021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 true</w:t>
      </w:r>
      <w:r>
        <w:t xml:space="preserve"> </w:t>
      </w:r>
      <w:r>
        <w:t xml:space="preserve">for 43 gold studies that the screener then received as title and abstract only; those are</w:t>
      </w:r>
      <w:r>
        <w:t xml:space="preserve"> </w:t>
      </w:r>
      <w:r>
        <w:t xml:space="preserve">retrieval failures surfacing one stage late.</w:t>
      </w:r>
      <w:r>
        <w:t xml:space="preserve"> </w:t>
      </w:r>
      <w:r>
        <w:rPr>
          <w:bCs/>
          <w:b/>
        </w:rPr>
        <w:t xml:space="preserve">43 of the 68 gold studies lost at full-text</w:t>
      </w:r>
      <w:r>
        <w:rPr>
          <w:bCs/>
          <w:b/>
        </w:rPr>
        <w:t xml:space="preserve"> </w:t>
      </w:r>
      <w:r>
        <w:rPr>
          <w:bCs/>
          <w:b/>
        </w:rPr>
        <w:t xml:space="preserve">screening are of that kind, against 25 genuine exclusions.</w:t>
      </w:r>
    </w:p>
    <w:bookmarkEnd w:id="34"/>
    <w:bookmarkStart w:id="35" w:name="null-models"/>
    <w:p>
      <w:pPr>
        <w:pStyle w:val="Heading2"/>
      </w:pPr>
      <w:r>
        <w:t xml:space="preserve">Null models</w:t>
      </w:r>
    </w:p>
    <w:p>
      <w:pPr>
        <w:pStyle w:val="FirstParagraph"/>
      </w:pPr>
      <w:r>
        <w:t xml:space="preserve">The same idea in two spaces.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Map space.</w:t>
      </w:r>
      <w:r>
        <w:t xml:space="preserve"> </w:t>
      </w:r>
      <w:r>
        <w:t xml:space="preserve">For each contrast, the same number of analyses is drawn at random from that</w:t>
      </w:r>
      <w:r>
        <w:t xml:space="preserve"> </w:t>
      </w:r>
      <w:r>
        <w:t xml:space="preserve">contrast’s candidate pool and the meta-analysis re-fitted, 500 times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This controls for the possibility that the advantage</w:t>
      </w:r>
      <w:r>
        <w:t xml:space="preserve"> </w:t>
      </w:r>
      <w:r>
        <w:t xml:space="preserve">comes from pooling fewer analyses rather than better ones.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ROC space.</w:t>
      </w:r>
      <w:r>
        <w:t xml:space="preserve"> </w:t>
      </w:r>
      <w:r>
        <w:t xml:space="preserve">Closed-form: a size-matched random selector lands at exactly (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),</w:t>
      </w:r>
      <w:r>
        <w:t xml:space="preserve"> </w:t>
      </w:r>
      <w:r>
        <w:t xml:space="preserve">so no Monte Carlo is needed for the location, and the spread is hypergeometric. Median band</w:t>
      </w:r>
      <w:r>
        <w:t xml:space="preserve"> </w:t>
      </w:r>
      <w:r>
        <w:t xml:space="preserve">width is 0.020 in FPR; the two small-</w:t>
      </w:r>
      <w:r>
        <w:rPr>
          <w:iCs/>
          <w:i/>
        </w:rPr>
        <w:t xml:space="preserve">N</w:t>
      </w:r>
      <w:r>
        <w:t xml:space="preserve"> </w:t>
      </w:r>
      <w:r>
        <w:t xml:space="preserve">exceptions are dementia (0.078) 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40).</w:t>
      </w:r>
    </w:p>
    <w:bookmarkEnd w:id="35"/>
    <w:bookmarkStart w:id="36" w:name="m1.1-code-and-data-availability"/>
    <w:p>
      <w:pPr>
        <w:pStyle w:val="Heading2"/>
      </w:pPr>
      <w:r>
        <w:t xml:space="preserve">M1.1 Code and data availability</w:t>
      </w:r>
    </w:p>
    <w:p>
      <w:pPr>
        <w:pStyle w:val="FirstParagraph"/>
      </w:pPr>
      <w:r>
        <w:t xml:space="preserve">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with a suite of 197 tests), this</w:t>
      </w:r>
      <w:r>
        <w:t xml:space="preserve"> </w:t>
      </w:r>
      <w:r>
        <w:t xml:space="preserve">analysis repository (configurations, run artifacts, report scripts and every figure), and</w:t>
      </w:r>
      <w:r>
        <w:t xml:space="preserve"> </w:t>
      </w:r>
      <w:r>
        <w:t xml:space="preserve">neurometabench (the benchmark).</w:t>
      </w:r>
    </w:p>
    <w:p>
      <w:pPr>
        <w:pStyle w:val="BlockText"/>
      </w:pP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6"/>
    <w:bookmarkStart w:id="37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bookmarkEnd w:id="37"/>
    <w:bookmarkStart w:id="38" w:name="m1.3-data-leakage-mitigation"/>
    <w:p>
      <w:pPr>
        <w:pStyle w:val="Heading2"/>
      </w:pPr>
      <w:r>
        <w:t xml:space="preserve">M1.3 Data leakage mitigation</w:t>
      </w:r>
    </w:p>
    <w:p>
      <w:pPr>
        <w:pStyle w:val="FirstParagraph"/>
      </w:pPr>
      <w:r>
        <w:t xml:space="preserve">Criteria could in principle be tuned against the benchmark they are scored on, so every run is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 </w:t>
      </w:r>
      <w:r>
        <w:t xml:space="preserve">under one of four tiers, and analyses state which tier they</w:t>
      </w:r>
      <w:r>
        <w:t xml:space="preserve"> </w:t>
      </w:r>
      <w:r>
        <w:t xml:space="preserve">use: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Cs/>
          <w:b/>
        </w:rPr>
        <w:t xml:space="preserve">verbatim</w:t>
      </w:r>
      <w:r>
        <w:t xml:space="preserve"> </w:t>
      </w:r>
      <w:r>
        <w:t xml:space="preserve">— criteria transcribed from the source paper</w:t>
      </w:r>
      <w:r>
        <w:t xml:space="preserve"> </w:t>
      </w:r>
      <w:r>
        <w:rPr>
          <w:iCs/>
          <w:i/>
        </w:rPr>
        <w:t xml:space="preserve">before any results were seen</w:t>
      </w:r>
      <w:r>
        <w:t xml:space="preserve">.</w:t>
      </w:r>
      <w:r>
        <w:t xml:space="preserve"> </w:t>
      </w:r>
      <w:r>
        <w:t xml:space="preserve">Held out by construction. Drafting assistance from a model or a person does not disqualify a</w:t>
      </w:r>
      <w:r>
        <w:t xml:space="preserve"> </w:t>
      </w:r>
      <w:r>
        <w:t xml:space="preserve">schema; revision against error reports does.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Cs/>
          <w:b/>
        </w:rPr>
        <w:t xml:space="preserve">manual</w:t>
      </w:r>
      <w:r>
        <w:t xml:space="preserve"> </w:t>
      </w:r>
      <w:r>
        <w:t xml:space="preserve">— the highest version the project author revised</w:t>
      </w:r>
      <w:r>
        <w:t xml:space="preserve"> </w:t>
      </w:r>
      <w:r>
        <w:rPr>
          <w:iCs/>
          <w:i/>
        </w:rPr>
        <w:t xml:space="preserve">by hand</w:t>
      </w:r>
      <w:r>
        <w:t xml:space="preserve"> </w:t>
      </w:r>
      <w:r>
        <w:t xml:space="preserve">after seeing reports.</w:t>
      </w:r>
      <w:r>
        <w:t xml:space="preserve"> </w:t>
      </w:r>
      <w:r>
        <w:t xml:space="preserve">Informed by them, but lightly: a few examples inspected, obvious patterns fixed.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Cs/>
          <w:b/>
        </w:rPr>
        <w:t xml:space="preserve">best</w:t>
      </w:r>
      <w:r>
        <w:t xml:space="preserve"> </w:t>
      </w:r>
      <w:r>
        <w:t xml:space="preserve">— the best-performing registered version, with the reason for promotion recorded.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Cs/>
          <w:b/>
        </w:rPr>
        <w:t xml:space="preserve">latest</w:t>
      </w:r>
      <w:r>
        <w:t xml:space="preserve"> </w:t>
      </w:r>
      <w:r>
        <w:t xml:space="preserve">— the highest version number, in practice the agent-written schemas produced by</w:t>
      </w:r>
      <w:r>
        <w:t xml:space="preserve"> </w:t>
      </w:r>
      <w:r>
        <w:t xml:space="preserve">reading a project’s error reports in full.</w:t>
      </w:r>
    </w:p>
    <w:p>
      <w:pPr>
        <w:pStyle w:val="FirstParagraph"/>
      </w:pPr>
      <w:r>
        <w:t xml:space="preserve">The overfitting rebuttal rests on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tier: it is a held-out specification, run across</w:t>
      </w:r>
      <w:r>
        <w:t xml:space="preserve"> </w:t>
      </w:r>
      <w:r>
        <w:t xml:space="preserve">nine projects, and it is what the tier-progression analysis (Supplementary Fig. S1) starts from.</w:t>
      </w:r>
    </w:p>
    <w:bookmarkEnd w:id="38"/>
    <w:bookmarkStart w:id="39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FirstParagraph"/>
      </w:pPr>
      <w:r>
        <w:t xml:space="preserve">Promotions between tiers are executed by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, and each carries a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. No numeric hyperparameter is tuned against the benchmark; what varies between</w:t>
      </w:r>
      <w:r>
        <w:t xml:space="preserve"> </w:t>
      </w:r>
      <w:r>
        <w:t xml:space="preserve">tiers is the</w:t>
      </w:r>
      <w:r>
        <w:t xml:space="preserve"> </w:t>
      </w:r>
      <w:r>
        <w:rPr>
          <w:iCs/>
          <w:i/>
        </w:rPr>
        <w:t xml:space="preserve">eligibility criteria</w:t>
      </w:r>
      <w:r>
        <w:t xml:space="preserve">, which are the object of study rather than a free parameter.</w:t>
      </w:r>
    </w:p>
    <w:p>
      <w:pPr>
        <w:pStyle w:val="BodyText"/>
      </w:pPr>
      <w:r>
        <w:t xml:space="preserve">The honest framing of the progression is that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largely uncovered major</w:t>
      </w:r>
      <w:r>
        <w:t xml:space="preserve"> </w:t>
      </w:r>
      <w:r>
        <w:t xml:space="preserve">oversights in the transcribed criteria rather than tuning to the benchmark, which is why it is</w:t>
      </w:r>
      <w:r>
        <w:t xml:space="preserve"> </w:t>
      </w:r>
      <w:r>
        <w:t xml:space="preserve">reported as mis-specification in the Discussion rather than as overfitting. Supplementary Fig. S1</w:t>
      </w:r>
      <w:r>
        <w:t xml:space="preserve"> </w:t>
      </w:r>
      <w:r>
        <w:t xml:space="preserve">reports the progression, including the four projects with no distinct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stage, whose</w:t>
      </w:r>
      <w:r>
        <w:t xml:space="preserve"> </w:t>
      </w:r>
      <w:r>
        <w:t xml:space="preserve">end-to-end gain is far smaller.</w:t>
      </w:r>
    </w:p>
    <w:bookmarkEnd w:id="39"/>
    <w:bookmarkStart w:id="40" w:name="m1.5-statistical-reporting"/>
    <w:p>
      <w:pPr>
        <w:pStyle w:val="Heading2"/>
      </w:pPr>
      <w:r>
        <w:t xml:space="preserve">M1.5 Statistical reporting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Clustering.</w:t>
      </w:r>
      <w:r>
        <w:t xml:space="preserve"> </w:t>
      </w:r>
      <w:r>
        <w:t xml:space="preserve">Confidence intervals are percentile bootstrap intervals resampling</w:t>
      </w:r>
      <w:r>
        <w:t xml:space="preserve"> </w:t>
      </w:r>
      <w:r>
        <w:rPr>
          <w:bCs/>
          <w:b/>
        </w:rPr>
        <w:t xml:space="preserve">whole</w:t>
      </w:r>
      <w:r>
        <w:rPr>
          <w:bCs/>
          <w:b/>
        </w:rPr>
        <w:t xml:space="preserve"> </w:t>
      </w:r>
      <w:r>
        <w:rPr>
          <w:bCs/>
          <w:b/>
        </w:rPr>
        <w:t xml:space="preserve">projects, not contrasts</w:t>
      </w:r>
      <w:r>
        <w:t xml:space="preserve">. Contrasts within a project share a corpus, a search and a screening</w:t>
      </w:r>
      <w:r>
        <w:t xml:space="preserve"> </w:t>
      </w:r>
      <w:r>
        <w:t xml:space="preserve">run, so resampling contrasts would treat correlated measurements as independent and report a</w:t>
      </w:r>
      <w:r>
        <w:t xml:space="preserve"> </w:t>
      </w:r>
      <w:r>
        <w:t xml:space="preserve">narrower interval than the evidence supports; measured, the cluster interval is about 1.8× the</w:t>
      </w:r>
      <w:r>
        <w:t xml:space="preserve"> </w:t>
      </w:r>
      <w:r>
        <w:t xml:space="preserve">naive one.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 percentile rather than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</w:t>
      </w:r>
      <w:r>
        <w:rPr>
          <w:bCs/>
          <w:b/>
        </w:rPr>
        <w:t xml:space="preserve">-based.</w:t>
      </w:r>
      <w:r>
        <w:t xml:space="preserve"> </w:t>
      </w:r>
      <w:r>
        <w:t xml:space="preserve">The deltas are visibly right-skewed — mean +0.114</w:t>
      </w:r>
      <w:r>
        <w:t xml:space="preserve"> </w:t>
      </w:r>
      <w:r>
        <w:t xml:space="preserve">against a median of +0.070 — so a symmetric interval would be misplaced.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Resampling.</w:t>
      </w:r>
      <w:r>
        <w:t xml:space="preserve"> </w:t>
      </w:r>
      <w:r>
        <w:t xml:space="preserve">20,000 resamples, seed 0, so every interval is reproducible.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Sign tests</w:t>
      </w:r>
      <w:r>
        <w:t xml:space="preserve"> </w:t>
      </w:r>
      <w:r>
        <w:t xml:space="preserve">over contrasts accompany the intervals; ties count as non-wins rather than being</w:t>
      </w:r>
      <w:r>
        <w:t xml:space="preserve"> </w:t>
      </w:r>
      <w:r>
        <w:t xml:space="preserve">dropped.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Paired comparisons between pipeline stages</w:t>
      </w:r>
      <w:r>
        <w:t xml:space="preserve"> </w:t>
      </w:r>
      <w:r>
        <w:t xml:space="preserve">are made within the end-to-end chain, where both</w:t>
      </w:r>
      <w:r>
        <w:t xml:space="preserve"> </w:t>
      </w:r>
      <w:r>
        <w:t xml:space="preserve">steps are measured against a shared baseline on the same runs and article pool. Comparisons</w:t>
      </w:r>
      <w:r>
        <w:t xml:space="preserve"> </w:t>
      </w:r>
      <w:r>
        <w:t xml:space="preserve">across arms with different baselines are reported descriptively only.</w:t>
      </w:r>
    </w:p>
    <w:bookmarkEnd w:id="40"/>
    <w:bookmarkEnd w:id="41"/>
    <w:bookmarkStart w:id="4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2"/>
    <w:bookmarkStart w:id="47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stage; the PubMed search returned a mean of 86% of the</w:t>
      </w:r>
      <w:r>
        <w:t xml:space="preserve"> </w:t>
      </w:r>
      <w:r>
        <w:t xml:space="preserve">expert-included studies (range 60–96%), and that ceiling is the quantity the denominator removes.</w:t>
      </w:r>
      <w:r>
        <w:t xml:space="preserve"> </w:t>
      </w:r>
      <w:r>
        <w:t xml:space="preserve">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 mean. Because</w:t>
      </w:r>
      <w:r>
        <w:t xml:space="preserve"> </w:t>
      </w:r>
      <w:r>
        <w:t xml:space="preserve">availability losses leave the denominator but screening 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 to eligibility judgements alone. Scored instead against every expert-included study,</w:t>
      </w:r>
      <w:r>
        <w:t xml:space="preserve"> </w:t>
      </w:r>
      <w:r>
        <w:t xml:space="preserve">recall at analysis selection reads 0.48 rather than 0.82.</w:t>
      </w:r>
    </w:p>
    <w:p>
      <w:pPr>
        <w:pStyle w:val="BodyText"/>
      </w:pPr>
      <w:r>
        <w:rPr>
          <w:bCs/>
          <w:b/>
        </w:rPr>
        <w:t xml:space="preserve">Fig. 3 | LLMs recover expert-curated analyses and identify relevant contrast assignments.</w:t>
      </w:r>
      <w:r>
        <w:t xml:space="preserve"> </w:t>
      </w:r>
      <w:r>
        <w:rPr>
          <w:bCs/>
          <w:b/>
        </w:rPr>
        <w:t xml:space="preserve">a</w:t>
      </w:r>
      <w:r>
        <w:t xml:space="preserve">, LLM-based parsing recovered a mean of 91.4% of expert-curated analyses (filled markers),</w:t>
      </w:r>
      <w:r>
        <w:t xml:space="preserve"> </w:t>
      </w:r>
      <w:r>
        <w:t xml:space="preserve">compared with 33.3% when each coordinate table was treated as a single analysis (open markers);</w:t>
      </w:r>
      <w:r>
        <w:t xml:space="preserve"> </w:t>
      </w:r>
      <w:r>
        <w:t xml:space="preserve">colour identifies the project, and marker fill encodes the method, so the comparison holds in</w:t>
      </w:r>
      <w:r>
        <w:t xml:space="preserve"> </w:t>
      </w:r>
      <w:r>
        <w:t xml:space="preserve">greyscale and under colour-vision deficiency. In seven of nine projects the single-analysis-per-</w:t>
      </w:r>
      <w:r>
        <w:t xml:space="preserve"> </w:t>
      </w:r>
      <w:r>
        <w:t xml:space="preserve">table baseline regroups the same extracted coordinates, holding extraction fixed so that only the</w:t>
      </w:r>
      <w:r>
        <w:t xml:space="preserve"> </w:t>
      </w:r>
      <w:r>
        <w:t xml:space="preserve">grouping differs. Automatically extracted and expert-curated analyses were matched using optimal</w:t>
      </w:r>
      <w:r>
        <w:t xml:space="preserve"> </w:t>
      </w:r>
      <w:r>
        <w:t xml:space="preserve">one-to-one assignment based on coordinate and label similarity (Methods). Parsing was scored on</w:t>
      </w:r>
      <w:r>
        <w:t xml:space="preserve"> </w:t>
      </w:r>
      <w:r>
        <w:t xml:space="preserve">the 663 of 1,047 expert-included articles (63%) that yielded at least one automatically extracted</w:t>
      </w:r>
      <w:r>
        <w:t xml:space="preserve"> </w:t>
      </w:r>
      <w:r>
        <w:t xml:space="preserve">analysis; post-hoc review of the remainder identified absence of coordinate data from the main</w:t>
      </w:r>
      <w:r>
        <w:t xml:space="preserve"> </w:t>
      </w:r>
      <w:r>
        <w:t xml:space="preserve">text — most often results reported only in supplementary tables — as the single largest cause of</w:t>
      </w:r>
      <w:r>
        <w:t xml:space="preserve"> </w:t>
      </w:r>
      <w:r>
        <w:t xml:space="preserve">extraction failure.</w:t>
      </w:r>
      <w:r>
        <w:t xml:space="preserve"> </w:t>
      </w:r>
      <w:r>
        <w:rPr>
          <w:bCs/>
          <w:b/>
        </w:rPr>
        <w:t xml:space="preserve">b</w:t>
      </w:r>
      <w:r>
        <w:t xml:space="preserve">, True-positive rate (recall) against false-positive rate for</w:t>
      </w:r>
      <w:r>
        <w:t xml:space="preserve"> </w:t>
      </w:r>
      <w:r>
        <w:t xml:space="preserve">analysis-to-contrast assignments, across nine projects and 32 target contrasts. Filled markers</w:t>
      </w:r>
      <w:r>
        <w:t xml:space="preserve"> </w:t>
      </w:r>
      <w:r>
        <w:t xml:space="preserve">represent individual projects, all of which performed above the chance diagonal (mean</w:t>
      </w:r>
      <w:r>
        <w:t xml:space="preserve"> </w:t>
      </w:r>
      <w:r>
        <w:t xml:space="preserve">TPR − FPR 0.68). The diagonal indicates equal true-positive and false-positive rates under random</w:t>
      </w:r>
      <w:r>
        <w:t xml:space="preserve"> </w:t>
      </w:r>
      <w:r>
        <w:t xml:space="preserve">selection. Open markers show the expected performance of uniformly selecting the same number of</w:t>
      </w:r>
      <w:r>
        <w:t xml:space="preserve"> </w:t>
      </w:r>
      <w:r>
        <w:t xml:space="preserve">candidate assignments as AutoNIMA, which lies on the diagonal at that project’s prevalence. Note</w:t>
      </w:r>
      <w:r>
        <w:t xml:space="preserve"> </w:t>
      </w:r>
      <w:r>
        <w:t xml:space="preserve">that the unit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the analysis-to-contrast assignment rather than the analysis, since one</w:t>
      </w:r>
      <w:r>
        <w:t xml:space="preserve"> </w:t>
      </w:r>
      <w:r>
        <w:t xml:space="preserve">analysis 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Each panel</w:t>
      </w:r>
      <w:r>
        <w:t xml:space="preserve"> </w:t>
      </w:r>
      <w:r>
        <w:t xml:space="preserve">isolates one selection step over the same 28 target contrasts in eight projects; each marker is</w:t>
      </w:r>
      <w:r>
        <w:t xml:space="preserve"> </w:t>
      </w:r>
      <w:r>
        <w:t xml:space="preserve">one contrast and colour identifies the project. Markers above the identity line are contrasts</w:t>
      </w:r>
      <w:r>
        <w:t xml:space="preserve"> </w:t>
      </w:r>
      <w:r>
        <w:t xml:space="preserve">where that step improved correspondence with the reference map.</w:t>
      </w:r>
      <w:r>
        <w:t xml:space="preserve"> </w:t>
      </w:r>
      <w:r>
        <w:rPr>
          <w:bCs/>
          <w:b/>
        </w:rPr>
        <w:t xml:space="preserve">a</w:t>
      </w:r>
      <w:r>
        <w:t xml:space="preserve">, Article selection only.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arm applies article-level eligibility criteria and then pools every parsed analysis from</w:t>
      </w:r>
      <w:r>
        <w:t xml:space="preserve"> </w:t>
      </w:r>
      <w:r>
        <w:t xml:space="preserve">the retained articles, against a search-only baseline on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axis.</w:t>
      </w:r>
      <w:r>
        <w:t xml:space="preserve"> </w:t>
      </w:r>
      <w:r>
        <w:rPr>
          <w:bCs/>
          <w:b/>
        </w:rPr>
        <w:t xml:space="preserve">b</w:t>
      </w:r>
      <w:r>
        <w:t xml:space="preserve">, Analysis selection</w:t>
      </w:r>
      <w:r>
        <w:t xml:space="preserve"> </w:t>
      </w:r>
      <w:r>
        <w:t xml:space="preserve">only. Both arms start from the expert inclusion list, so the study pool is held fixed and the</w:t>
      </w:r>
      <w:r>
        <w:t xml:space="preserve"> </w:t>
      </w:r>
      <w:r>
        <w:t xml:space="preserve">only difference is whether analyses were selected against contrast-specific criteria;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axis pools every parsed analysis from that same pool. Because the two panels use different arms</w:t>
      </w:r>
      <w:r>
        <w:t xml:space="preserve"> </w:t>
      </w:r>
      <w:r>
        <w:t xml:space="preserve">and different study pools their gains are not additive and should not be summed; the additive</w:t>
      </w:r>
      <w:r>
        <w:t xml:space="preserve"> </w:t>
      </w:r>
      <w:r>
        <w:t xml:space="preserve">decomposition of the Fig. 4 margin is reported separately in the text. Panel a should not be read</w:t>
      </w:r>
      <w:r>
        <w:t xml:space="preserve"> </w:t>
      </w:r>
      <w:r>
        <w:t xml:space="preserve">as showing that article selection is worthless: 27 of 28 baselines are contrast-targeted</w:t>
      </w:r>
      <w:r>
        <w:t xml:space="preserve"> </w:t>
      </w:r>
      <w:r>
        <w:t xml:space="preserve">searches, so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arm already selects articles, by query rather than by model. What panel a</w:t>
      </w:r>
      <w:r>
        <w:t xml:space="preserve"> </w:t>
      </w:r>
      <w:r>
        <w:t xml:space="preserve">shows is that two ways of selecting articles come out even, and panel b that the gain comes from</w:t>
      </w:r>
      <w:r>
        <w:t xml:space="preserve"> </w:t>
      </w:r>
      <w:r>
        <w:t xml:space="preserve">the step a search cannot perform at all.</w:t>
      </w:r>
    </w:p>
    <w:bookmarkStart w:id="43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 — but</w:t>
      </w:r>
      <w:r>
        <w:t xml:space="preserve"> </w:t>
      </w:r>
      <w:r>
        <w:rPr>
          <w:bCs/>
          <w:b/>
        </w:rPr>
        <w:t xml:space="preserve">each of</w:t>
      </w:r>
      <w:r>
        <w:rPr>
          <w:bCs/>
          <w:b/>
        </w:rPr>
        <w:t xml:space="preserve"> </w:t>
      </w:r>
      <w:r>
        <w:rPr>
          <w:bCs/>
          <w:b/>
        </w:rPr>
        <w:t xml:space="preserve">those segments rests on two projects only</w:t>
      </w:r>
      <w:r>
        <w:t xml:space="preserve">, since the rest resolve to the same run at more than</w:t>
      </w:r>
      <w:r>
        <w:t xml:space="preserve"> </w:t>
      </w:r>
      <w:r>
        <w:t xml:space="preserve">one tier. Four further projects never had a distinct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stage and so appear as single</w:t>
      </w:r>
      <w:r>
        <w:t xml:space="preserve"> </w:t>
      </w:r>
      <w:r>
        <w:t xml:space="preserve">verbatim-to-best segments; end to end they gain</w:t>
      </w:r>
      <w:r>
        <w:t xml:space="preserve"> </w:t>
      </w:r>
      <w:r>
        <w:rPr>
          <w:bCs/>
          <w:b/>
        </w:rPr>
        <w:t xml:space="preserve">+0.018</w:t>
      </w:r>
      <w:r>
        <w:t xml:space="preserve"> </w:t>
      </w:r>
      <w:r>
        <w:t xml:space="preserve">(</w:t>
      </w:r>
      <w:r>
        <w:rPr>
          <w:iCs/>
          <w:i/>
        </w:rPr>
        <w:t xml:space="preserve">n</w:t>
      </w:r>
      <w:r>
        <w:t xml:space="preserve"> </w:t>
      </w:r>
      <w:r>
        <w:t xml:space="preserve">= 4, range −0.008 to +0.048),</w:t>
      </w:r>
      <w:r>
        <w:t xml:space="preserve"> </w:t>
      </w:r>
      <w:r>
        <w:t xml:space="preserve">against +0.228 for the two that were reworked by hand. The large mis-specification gain is</w:t>
      </w:r>
      <w:r>
        <w:t xml:space="preserve"> </w:t>
      </w:r>
      <w:r>
        <w:t xml:space="preserve">therefore concentrated in the projects where an author actually rewrote the criteria after</w:t>
      </w:r>
      <w:r>
        <w:t xml:space="preserve"> </w:t>
      </w:r>
      <w:r>
        <w:t xml:space="preserve">reading the pipeline’s error reports, and is not a general property of refinement — though that</w:t>
      </w:r>
      <w:r>
        <w:t xml:space="preserve"> </w:t>
      </w:r>
      <w:r>
        <w:t xml:space="preserve">comparison is confounded with effort rather than controlled. An open circle marks a project</w:t>
      </w:r>
      <w:r>
        <w:t xml:space="preserve"> </w:t>
      </w:r>
      <w:r>
        <w:t xml:space="preserve">registered at several tiers that resolves to a single run, where no progression was measured. The</w:t>
      </w:r>
      <w:r>
        <w:t xml:space="preserve"> </w:t>
      </w:r>
      <w:r>
        <w:t xml:space="preserve">practical reading is that the live risk in LLM-assisted screening is mis-specifying the criteria,</w:t>
      </w:r>
      <w:r>
        <w:t xml:space="preserve"> </w:t>
      </w:r>
      <w:r>
        <w:t xml:space="preserve">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3"/>
    <w:bookmarkStart w:id="44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4"/>
    <w:bookmarkStart w:id="45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5"/>
    <w:bookmarkStart w:id="46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scaffolding-delete-before-submission"/>
    <w:p>
      <w:pPr>
        <w:pStyle w:val="Heading1"/>
      </w:pPr>
      <w:r>
        <w:t xml:space="preserve">SCAFFOLDING — DELETE BEFORE SUBMISSION</w:t>
      </w:r>
    </w:p>
    <w:bookmarkStart w:id="48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8"/>
    <w:bookmarkStart w:id="49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9"/>
    <w:bookmarkStart w:id="50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2026-09-18T20:42:12Z</dcterms:created>
  <dcterms:modified xsi:type="dcterms:W3CDTF">2026-09-18T20:42:12Z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