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>
          <w:b/>
        </w:rPr>
        <w:t>NeuroViu Disability-Inclusive Clinical Research Accessibility Toolkit (v1.0)</w:t>
      </w:r>
    </w:p>
    <w:p>
      <w:pPr>
        <w:pStyle w:val="Subtitle"/>
      </w:pPr>
      <w:r>
        <w:t>A cross-disability implementation resource for virtual reality, digital-health, behavioral, and technology-assisted clinical research</w:t>
      </w:r>
    </w:p>
    <w:p>
      <w:r>
        <w:t>Purpose. This toolkit translates the Accessible Adaptive VR framework into practical steps,</w:t>
      </w:r>
    </w:p>
    <w:p>
      <w:r>
        <w:t>checklists, forms, and safeguards that research teams can adapt to their own protocols.</w:t>
      </w:r>
    </w:p>
    <w:p>
      <w:r>
        <w:t>Initial implementation context: Skyward Sojourn, a virtual-reality exposure platform developed through</w:t>
      </w:r>
    </w:p>
    <w:p>
      <w:r>
        <w:t>NeuroViu. The earlier eight-participant Skyward Sojourn study established use of the underlying VR research</w:t>
      </w:r>
    </w:p>
    <w:p>
      <w:r>
        <w:t>environment; it was not designed to evaluate disability inclusion. The disability-inclusion framework described</w:t>
      </w:r>
    </w:p>
    <w:p>
      <w:r>
        <w:t>here has been developed for future evaluation for subsequent research.</w:t>
      </w:r>
    </w:p>
    <w:p>
      <w:r>
        <w:t>Intended users: principal investigators, study coordinators, research assistants, accessibility leads,</w:t>
      </w:r>
    </w:p>
    <w:p>
      <w:r>
        <w:t>technology developers, facilitators, and community/lived-experience partners.</w:t>
      </w:r>
    </w:p>
    <w:p>
      <w:r>
        <w:t>Scope: cross-disability. The framework is intended to help teams consider mobility/physical, vision, hearing,</w:t>
      </w:r>
    </w:p>
    <w:p>
      <w:r>
        <w:t>cognitive/intellectual/developmental, communication/speech, chronic illness/energy-limiting, mental-health,</w:t>
      </w:r>
    </w:p>
    <w:p>
      <w:r>
        <w:t>sensory, and multiple access needs without assuming that one accommodation works for everyone.</w:t>
      </w:r>
    </w:p>
    <w:p>
      <w:r>
        <w:t>Important: This toolkit is research-process guidance, not medical advice and not a substitute for institutional ethics review,</w:t>
      </w:r>
    </w:p>
    <w:p>
      <w:r>
        <w:t>accessibility expertise, participant-specific clinical judgment, or applicable law/policy.</w:t>
      </w:r>
    </w:p>
    <w:p>
      <w:pPr>
        <w:pStyle w:val="Heading1"/>
      </w:pPr>
      <w:r>
        <w:t>1. Accessible Adaptive VR Framework</w:t>
      </w:r>
    </w:p>
    <w:p>
      <w:r>
        <w:t>The framework treats accessibility as a prospective research-design responsibility rather than a problem</w:t>
      </w:r>
    </w:p>
    <w:p>
      <w:r>
        <w:t>addressed only after enrollment. It can be used with immersive VR, wearables, mobile applications, remote</w:t>
      </w:r>
    </w:p>
    <w:p>
      <w:r>
        <w:t>assessments, behavioral interventions, and other technology-assisted research.</w:t>
      </w:r>
    </w:p>
    <w:p>
      <w:pPr>
        <w:pStyle w:val="Heading2"/>
      </w:pPr>
      <w:r>
        <w:t>Core principles</w:t>
      </w:r>
    </w:p>
    <w:p>
      <w:pPr>
        <w:pStyle w:val="ListBullet"/>
      </w:pPr>
      <w:r>
        <w:t>Anticipate barriers: examine study design, recruitment, consent, technology, procedures, data collection,</w:t>
      </w:r>
    </w:p>
    <w:p>
      <w:r>
        <w:t>communication, and dissemination before participants encounter them.</w:t>
      </w:r>
    </w:p>
    <w:p>
      <w:pPr>
        <w:pStyle w:val="ListBullet"/>
      </w:pPr>
      <w:r>
        <w:t>Ask rather than assume: provide a clear process for participants to describe access needs and preferred</w:t>
      </w:r>
    </w:p>
    <w:p>
      <w:r>
        <w:t>accommodations.</w:t>
      </w:r>
    </w:p>
    <w:p>
      <w:pPr>
        <w:pStyle w:val="ListBullet"/>
      </w:pPr>
      <w:r>
        <w:t>Preserve participant control: define pause, stop, modification, and withdrawal pathways that are easy to</w:t>
      </w:r>
    </w:p>
    <w:p>
      <w:r>
        <w:t>use during technology-assisted procedures.</w:t>
      </w:r>
    </w:p>
    <w:p>
      <w:pPr>
        <w:pStyle w:val="ListBullet"/>
      </w:pPr>
      <w:r>
        <w:t>Use lived experience: involve people with disabilities in identifying barriers, reviewing materials, testing</w:t>
      </w:r>
    </w:p>
    <w:p>
      <w:r>
        <w:t>procedures, and improving the approach.</w:t>
      </w:r>
    </w:p>
    <w:p>
      <w:pPr>
        <w:pStyle w:val="ListBullet"/>
      </w:pPr>
      <w:r>
        <w:t>Interpret behavior cautiously: do not automatically assign psychological meaning to movement, posture,</w:t>
      </w:r>
    </w:p>
    <w:p>
      <w:r>
        <w:t>response speed, gaze, speech, or interaction patterns that may reflect disability or assistive-technology</w:t>
      </w:r>
    </w:p>
    <w:p>
      <w:r>
        <w:t>use.</w:t>
      </w:r>
    </w:p>
    <w:p>
      <w:pPr>
        <w:pStyle w:val="ListBullet"/>
      </w:pPr>
      <w:r>
        <w:t>Document and improve: convert recurring barriers and participant feedback into lasting protocol,</w:t>
      </w:r>
    </w:p>
    <w:p>
      <w:r>
        <w:t>technology, and training changes.</w:t>
      </w:r>
    </w:p>
    <w:p>
      <w:pPr>
        <w:pStyle w:val="Heading2"/>
      </w:pPr>
      <w:r>
        <w:t>Research-lifecycle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tblHeader w:val="true"/>
        </w:trPr>
        <w:tc>
          <w:tcPr>
            <w:tcW w:type="dxa" w:w="4320"/>
          </w:tcPr>
          <w:p>
            <w:pPr>
              <w:spacing w:after="40"/>
            </w:pPr>
            <w:r>
              <w:rPr>
                <w:sz w:val="16"/>
              </w:rPr>
              <w:t>Stage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6"/>
              </w:rPr>
              <w:t>Accessibility action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Design / co-design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Identify foreseeable barriers; review inclusion/exclusion criteria; obtain lived-experience input; define modifiable and non-modifiable protocol elements.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Recruitment / screening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Use accessible outreach; provide an accommodation contact pathway; avoid treating accommodation needs as automatic exclusions.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Consent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Offer accessible formats and communication methods; confirm understanding using methods appropriate to the participant and protocol.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Study preparation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Create an individualized accommodation plan; test equipment and alternative interaction options before data collection when feasible.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Participation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Use participant-controlled pause/stop pathways; document accommodations and access barriers; permit scientifically appropriate modifications.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Data interpretation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Consider disability, assistive-device use, positioning, sensory or motor differences, and participant report before interpreting behavioral signals.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Follow-up / dissemination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Ask about accessibility experience; document improvements; communicate results in accessible formats where feasible.</w:t>
            </w:r>
          </w:p>
        </w:tc>
      </w:tr>
    </w:tbl>
    <w:p>
      <w:pPr>
        <w:pStyle w:val="Heading1"/>
      </w:pPr>
      <w:r>
        <w:t>2. Accessibility Planning Checklist</w:t>
      </w:r>
    </w:p>
    <w:p>
      <w:r>
        <w:t>Use during protocol development and again before enrollment. Mark Yes, No, Not Applicable, or Needs</w:t>
      </w:r>
    </w:p>
    <w:p>
      <w:r>
        <w:t>Review and record an action owner.</w:t>
      </w:r>
    </w:p>
    <w:p>
      <w:pPr>
        <w:pStyle w:val="Heading2"/>
      </w:pPr>
      <w:r>
        <w:t>Study design and eligibility</w:t>
      </w:r>
    </w:p>
    <w:p>
      <w:r>
        <w:t>■ Yes ■ No ■ N/A ■ Needs Review</w:t>
      </w:r>
    </w:p>
    <w:p>
      <w:r>
        <w:t>Have inclusion and exclusion criteria been reviewed for requirements that may unnecessarily exclude people</w:t>
      </w:r>
    </w:p>
    <w:p>
      <w:r>
        <w:t>with disabilities?</w:t>
      </w:r>
    </w:p>
    <w:p>
      <w:r>
        <w:t>■ Yes ■ No ■ N/A ■ Needs Review</w:t>
      </w:r>
    </w:p>
    <w:p>
      <w:r>
        <w:t>Can scientifically nonessential positioning, movement, response-speed, or technology-use requirements be</w:t>
      </w:r>
    </w:p>
    <w:p>
      <w:r>
        <w:t>modified?</w:t>
      </w:r>
    </w:p>
    <w:p>
      <w:r>
        <w:t>■ Yes ■ No ■ N/A ■ Needs Review</w:t>
      </w:r>
    </w:p>
    <w:p>
      <w:r>
        <w:t>Have foreseeable accessibility barriers been discussed with people who have relevant lived experience?</w:t>
      </w:r>
    </w:p>
    <w:p>
      <w:pPr>
        <w:pStyle w:val="Heading2"/>
      </w:pPr>
      <w:r>
        <w:t>Recruitment and communication</w:t>
      </w:r>
    </w:p>
    <w:p>
      <w:r>
        <w:t>■ Yes ■ No ■ N/A ■ Needs Review</w:t>
      </w:r>
    </w:p>
    <w:p>
      <w:r>
        <w:t>Are recruitment materials available in accessible digital formats?</w:t>
      </w:r>
    </w:p>
    <w:p>
      <w:r>
        <w:t>■ Yes ■ No ■ N/A ■ Needs Review</w:t>
      </w:r>
    </w:p>
    <w:p>
      <w:r>
        <w:t>Is there a clear way to request accommodations before screening or a study visit?</w:t>
      </w:r>
    </w:p>
    <w:p>
      <w:r>
        <w:t>■ Yes ■ No ■ N/A ■ Needs Review</w:t>
      </w:r>
    </w:p>
    <w:p>
      <w:r>
        <w:t>Can study staff communicate through more than one method when appropriate?</w:t>
      </w:r>
    </w:p>
    <w:p>
      <w:pPr>
        <w:pStyle w:val="Heading2"/>
      </w:pPr>
      <w:r>
        <w:t>Consent and participant information</w:t>
      </w:r>
    </w:p>
    <w:p>
      <w:r>
        <w:t>■ Yes ■ No ■ N/A ■ Needs Review</w:t>
      </w:r>
    </w:p>
    <w:p>
      <w:r>
        <w:t>Can consent materials be provided in accessible electronic or alternative formats when needed?</w:t>
      </w:r>
    </w:p>
    <w:p>
      <w:r>
        <w:t>■ Yes ■ No ■ N/A ■ Needs Review</w:t>
      </w:r>
    </w:p>
    <w:p>
      <w:r>
        <w:t>Is sufficient time available for questions, communication support, or comprehension needs?</w:t>
      </w:r>
    </w:p>
    <w:p>
      <w:r>
        <w:t>■ Yes ■ No ■ N/A ■ Needs Review</w:t>
      </w:r>
    </w:p>
    <w:p>
      <w:r>
        <w:t>Are participants told how to pause, modify, or stop procedures and how withdrawal works?</w:t>
      </w:r>
    </w:p>
    <w:p>
      <w:pPr>
        <w:pStyle w:val="Heading2"/>
      </w:pPr>
      <w:r>
        <w:t>Technology and physical setup</w:t>
      </w:r>
    </w:p>
    <w:p>
      <w:r>
        <w:t>■ Yes ■ No ■ N/A ■ Needs Review</w:t>
      </w:r>
    </w:p>
    <w:p>
      <w:r>
        <w:t>Can the participant use the study technology from an appropriate seated, standing, or otherwise supported</w:t>
      </w:r>
    </w:p>
    <w:p>
      <w:r>
        <w:t>position when scientifically feasible?</w:t>
      </w:r>
    </w:p>
    <w:p>
      <w:r>
        <w:t>■ Yes ■ No ■ N/A ■ Needs Review</w:t>
      </w:r>
    </w:p>
    <w:p>
      <w:r>
        <w:t>Have headset/controller fit, reach, input method, visual presentation, audio, sensory intensity, and physical</w:t>
      </w:r>
    </w:p>
    <w:p>
      <w:r>
        <w:t>navigation demands been reviewed?</w:t>
      </w:r>
    </w:p>
    <w:p>
      <w:r>
        <w:t>■ Yes ■ No ■ N/A ■ Needs Review</w:t>
      </w:r>
    </w:p>
    <w:p>
      <w:r>
        <w:t>Can assistive devices remain available unless their use would create a documented safety or scientific</w:t>
      </w:r>
    </w:p>
    <w:p>
      <w:r>
        <w:t>conflict?</w:t>
      </w:r>
    </w:p>
    <w:p>
      <w:r>
        <w:t>■ Yes ■ No ■ N/A ■ Needs Review</w:t>
      </w:r>
    </w:p>
    <w:p>
      <w:r>
        <w:t>Is there a plan for cybersickness, fatigue, sensory overload, pain, or other access-related discomfort?</w:t>
      </w:r>
    </w:p>
    <w:p>
      <w:pPr>
        <w:pStyle w:val="Heading2"/>
      </w:pPr>
      <w:r>
        <w:t>Data collection and interpretation</w:t>
      </w:r>
    </w:p>
    <w:p>
      <w:r>
        <w:t>■ Yes ■ No ■ N/A ■ Needs Review</w:t>
      </w:r>
    </w:p>
    <w:p>
      <w:r>
        <w:t>Are accommodation-related protocol deviations or modifications documented?</w:t>
      </w:r>
    </w:p>
    <w:p>
      <w:r>
        <w:t>■ Yes ■ No ■ N/A ■ Needs Review</w:t>
      </w:r>
    </w:p>
    <w:p>
      <w:r>
        <w:t>Are behavioral measures interpreted with disability-related confounders in mind?</w:t>
      </w:r>
    </w:p>
    <w:p>
      <w:r>
        <w:t>■ Yes ■ No ■ N/A ■ Needs Review</w:t>
      </w:r>
    </w:p>
    <w:p>
      <w:r>
        <w:t>Can participant-reported context be recorded alongside technology-derived measures?</w:t>
      </w:r>
    </w:p>
    <w:p>
      <w:r>
        <w:t>■ Yes ■ No ■ N/A ■ Needs Review</w:t>
      </w:r>
    </w:p>
    <w:p>
      <w:r>
        <w:t>Are missing data and noncompletion examined for accessibility-related causes rather than treated only as</w:t>
      </w:r>
    </w:p>
    <w:p>
      <w:r>
        <w:t>participant failure?</w:t>
      </w:r>
    </w:p>
    <w:p>
      <w:pPr>
        <w:pStyle w:val="Heading1"/>
      </w:pPr>
      <w:r>
        <w:t>3. Participant Accommodation Planning Form</w:t>
      </w:r>
    </w:p>
    <w:p>
      <w:r>
        <w:t>Use this form to plan access needs without requiring a participant to disclose more disability information than</w:t>
      </w:r>
    </w:p>
    <w:p>
      <w:r>
        <w:t>is necessary for the research procedure.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tblHeader w:val="true"/>
        </w:trPr>
        <w:tc>
          <w:tcPr>
            <w:tcW w:type="dxa" w:w="4320"/>
          </w:tcPr>
          <w:p>
            <w:pPr>
              <w:spacing w:after="40"/>
            </w:pPr>
            <w:r>
              <w:rPr>
                <w:sz w:val="16"/>
              </w:rPr>
              <w:t>Planning field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6"/>
              </w:rPr>
              <w:t>Response (complete before use)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Participant / study ID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________________________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Preferred communication method(s)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________________________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Study activity or technology involved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________________________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Access need or barrier identified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________________________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Accommodation requested or proposed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________________________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Participant preference / comments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________________________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Safety or protocol considerations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________________________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Accommodation agreed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________________________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Responsible team member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________________________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Date to review / test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________________________</w:t>
            </w:r>
          </w:p>
        </w:tc>
      </w:tr>
    </w:tbl>
    <w:p>
      <w:r>
        <w:t>Participant-control check: Before beginning, confirm how the participant can request a pause,</w:t>
      </w:r>
    </w:p>
    <w:p>
      <w:r>
        <w:t>modification, assistance, or stop. Do not make continued participation contingent on tolerating</w:t>
      </w:r>
    </w:p>
    <w:p>
      <w:r>
        <w:t>avoidable access barriers.</w:t>
      </w:r>
    </w:p>
    <w:p>
      <w:pPr>
        <w:pStyle w:val="Heading1"/>
      </w:pPr>
      <w:r>
        <w:t>4. Accessible Consent and Communication Checklist</w:t>
      </w:r>
    </w:p>
    <w:p>
      <w:pPr>
        <w:pStyle w:val="ListBullet"/>
      </w:pPr>
      <w:r>
        <w:t>Use plain, direct language appropriate to the study population while preserving required consent</w:t>
      </w:r>
    </w:p>
    <w:p>
      <w:r>
        <w:t>information.</w:t>
      </w:r>
    </w:p>
    <w:p>
      <w:pPr>
        <w:pStyle w:val="ListBullet"/>
      </w:pPr>
      <w:r>
        <w:t>Provide accessible electronic documents and compatible formats when feasible; avoid image-only</w:t>
      </w:r>
    </w:p>
    <w:p>
      <w:r>
        <w:t>documents for essential participant information.</w:t>
      </w:r>
    </w:p>
    <w:p>
      <w:pPr>
        <w:pStyle w:val="ListBullet"/>
      </w:pPr>
      <w:r>
        <w:t>Ask about communication preferences rather than inferring them from a diagnosis or disability.</w:t>
      </w:r>
    </w:p>
    <w:p>
      <w:pPr>
        <w:pStyle w:val="ListBullet"/>
      </w:pPr>
      <w:r>
        <w:t>Allow additional processing or response time when appropriate.</w:t>
      </w:r>
    </w:p>
    <w:p>
      <w:pPr>
        <w:pStyle w:val="ListBullet"/>
      </w:pPr>
      <w:r>
        <w:t>Provide a method for questions before and during participation.</w:t>
      </w:r>
    </w:p>
    <w:p>
      <w:pPr>
        <w:pStyle w:val="ListBullet"/>
      </w:pPr>
      <w:r>
        <w:t>Explain technology demands, physical positioning, sensory features, foreseeable discomforts, and</w:t>
      </w:r>
    </w:p>
    <w:p>
      <w:r>
        <w:t>available modifications before the procedure begins.</w:t>
      </w:r>
    </w:p>
    <w:p>
      <w:pPr>
        <w:pStyle w:val="ListBullet"/>
      </w:pPr>
      <w:r>
        <w:t>Explain that requesting an accommodation does not by itself require withdrawal or exclusion; determine</w:t>
      </w:r>
    </w:p>
    <w:p>
      <w:r>
        <w:t>whether a requested modification is compatible with safety and scientific integrity.</w:t>
      </w:r>
    </w:p>
    <w:p>
      <w:pPr>
        <w:pStyle w:val="ListBullet"/>
      </w:pPr>
      <w:r>
        <w:t>Make pause, stop, modification, and withdrawal procedures explicit and easy to initiate.</w:t>
      </w:r>
    </w:p>
    <w:p>
      <w:pPr>
        <w:pStyle w:val="ListBullet"/>
      </w:pPr>
      <w:r>
        <w:t>When a support person, interpreter, communication aid, or assistive technology is involved, document</w:t>
      </w:r>
    </w:p>
    <w:p>
      <w:r>
        <w:t>roles and any implications for the research procedure.</w:t>
      </w:r>
    </w:p>
    <w:p>
      <w:pPr>
        <w:pStyle w:val="ListBullet"/>
      </w:pPr>
      <w:r>
        <w:t>Confirm understanding using an approach appropriate to the participant and the approved protocol.</w:t>
      </w:r>
    </w:p>
    <w:p>
      <w:pPr>
        <w:pStyle w:val="Heading2"/>
      </w:pPr>
      <w:r>
        <w:t>Suggested participant-facing accessibility question</w:t>
      </w:r>
    </w:p>
    <w:p>
      <w:r>
        <w:t>“Is there anything about the study information, communication, physical setup, technology,</w:t>
      </w:r>
    </w:p>
    <w:p>
      <w:r>
        <w:t>timing, sensory environment, or research procedure that we can adjust to make participation</w:t>
      </w:r>
    </w:p>
    <w:p>
      <w:r>
        <w:t>more accessible to you?”</w:t>
      </w:r>
    </w:p>
    <w:p>
      <w:pPr>
        <w:pStyle w:val="Heading1"/>
      </w:pPr>
      <w:r>
        <w:t>5. Participant Pause / Stop / Modification Procedure</w:t>
      </w:r>
    </w:p>
    <w:p>
      <w:r>
        <w:t>This procedure is intended for immersive or technology-assisted sessions where a participant may need rapid</w:t>
      </w:r>
    </w:p>
    <w:p>
      <w:r>
        <w:t>control over the research experience.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tblHeader w:val="true"/>
        </w:trPr>
        <w:tc>
          <w:tcPr>
            <w:tcW w:type="dxa" w:w="4320"/>
          </w:tcPr>
          <w:p>
            <w:pPr>
              <w:spacing w:after="40"/>
            </w:pPr>
            <w:r>
              <w:rPr>
                <w:sz w:val="16"/>
              </w:rPr>
              <w:t>Step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6"/>
              </w:rPr>
              <w:t>Procedure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Before the session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Explain the pause/stop method verbally and in accessible written form. Agree on any additional signal the participant can use if speech or controller input becomes difficult.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During the session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Respond promptly to the agreed signal. Pause technology or the procedure when feasible and establish whether the participant wants assistance, a modification, a break, or to stop.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Modification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If the participant wishes to continue, implement a scientifically and ethically appropriate accommodation. Record what changed and whether the change affects interpretation of study data.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Stopping / withdrawal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Follow the approved protocol and consent process. Do not pressure the participant to continue. Document the reason only to the extent permitted and necessary.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After the event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Ask whether the accommodation or response was adequate. Record any recurring barrier that should result in a protocol, technology, or staff-training change.</w:t>
            </w:r>
          </w:p>
        </w:tc>
      </w:tr>
    </w:tbl>
    <w:p>
      <w:pPr>
        <w:pStyle w:val="Heading1"/>
      </w:pPr>
      <w:r>
        <w:t>6. Barrier → Accommodation → Participant Response → Design</w:t>
      </w:r>
    </w:p>
    <w:p>
      <w:r>
        <w:t>Modification Log</w:t>
      </w:r>
    </w:p>
    <w:p>
      <w:r>
        <w:t>Use one row per barrier or access issue. The purpose is to turn individual accessibility experiences into</w:t>
      </w:r>
    </w:p>
    <w:p>
      <w:r>
        <w:t>traceable research improvements.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tblHeader w:val="true"/>
        </w:trPr>
        <w:tc>
          <w:tcPr>
            <w:tcW w:type="dxa" w:w="1728"/>
          </w:tcPr>
          <w:p>
            <w:pPr>
              <w:spacing w:after="40"/>
            </w:pPr>
            <w:r>
              <w:rPr>
                <w:sz w:val="16"/>
              </w:rPr>
              <w:t>Barrier identified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6"/>
              </w:rPr>
              <w:t>Accommodation / action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6"/>
              </w:rPr>
              <w:t>Participant response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6"/>
              </w:rPr>
              <w:t>Design / protocol modification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6"/>
              </w:rPr>
              <w:t>Status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One-time / Adopted / Review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One-time / Adopted / Review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One-time / Adopted / Review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One-time / Adopted / Review</w:t>
            </w:r>
          </w:p>
        </w:tc>
      </w:tr>
    </w:tbl>
    <w:p>
      <w:r>
        <w:t>Recommended implementation measures: number and type of barriers identified; accommodations</w:t>
      </w:r>
    </w:p>
    <w:p>
      <w:r>
        <w:t>requested, offered, accepted, and successfully implemented; procedure completion with accommodations;</w:t>
      </w:r>
    </w:p>
    <w:p>
      <w:r>
        <w:t>access-related withdrawals/noncompletion; participant accessibility feedback; and permanent study or</w:t>
      </w:r>
    </w:p>
    <w:p>
      <w:r>
        <w:t>technology changes resulting from lived-experience input.</w:t>
      </w:r>
    </w:p>
    <w:p>
      <w:pPr>
        <w:pStyle w:val="Heading1"/>
      </w:pPr>
      <w:r>
        <w:t>7. Behavioral Data Interpretation Safeguards</w:t>
      </w:r>
    </w:p>
    <w:p>
      <w:r>
        <w:t>Technology-assisted studies may generate behavioral measures that appear objective but can be affected by</w:t>
      </w:r>
    </w:p>
    <w:p>
      <w:r>
        <w:t>disability, assistive technology, positioning, fatigue, sensory access, or individual interaction style. These</w:t>
      </w:r>
    </w:p>
    <w:p>
      <w:r>
        <w:t>safeguards are intended to reduce inappropriate inference.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tblHeader w:val="true"/>
        </w:trPr>
        <w:tc>
          <w:tcPr>
            <w:tcW w:type="dxa" w:w="2880"/>
          </w:tcPr>
          <w:p>
            <w:pPr>
              <w:spacing w:after="40"/>
            </w:pPr>
            <w:r>
              <w:rPr>
                <w:sz w:val="16"/>
              </w:rPr>
              <w:t>Observed measure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6"/>
              </w:rPr>
              <w:t>Do not automatically infer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6"/>
              </w:rPr>
              <w:t>Consider / document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Slower approach or movement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Fear, avoidance, low motivation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Mobility, balance, pain, fatigue, assistive-device use, unfamiliarity, chosen pacing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Postural sway or instability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Anxiety or distress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Balance differences, vestibular factors, stance, physical support, equipment fit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Longer response time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Confusion or disengagement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Processing time, motor response, communication method, device accessibility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Reduced gaze / head movement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Low attention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Visual access, neck mobility, sensory regulation, headset fit, interaction strategy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Speech differences / limited verbal response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Low understanding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Communication disability, speech access, AAC use, fatigue, preferred response mode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Early pause / session modification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Treatment failure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Accessibility need, sensory load, pain, fatigue, technology fit, participant self-advocacy</w:t>
            </w:r>
          </w:p>
        </w:tc>
      </w:tr>
    </w:tbl>
    <w:p>
      <w:r>
        <w:t>Safeguard rule: When a behavioral signal may have more than one plausible explanation,</w:t>
      </w:r>
    </w:p>
    <w:p>
      <w:r>
        <w:t>combine it with participant-reported context and other appropriate measures rather than</w:t>
      </w:r>
    </w:p>
    <w:p>
      <w:r>
        <w:t>assigning a disability-insensitive interpretation from the signal alone.</w:t>
      </w:r>
    </w:p>
    <w:p>
      <w:pPr>
        <w:pStyle w:val="Heading1"/>
      </w:pPr>
      <w:r>
        <w:t>8. Lived-Experience Co-Design Guide</w:t>
      </w:r>
    </w:p>
    <w:p>
      <w:r>
        <w:t>Meaningful engagement should influence decisions, not simply confirm decisions already made. Research</w:t>
      </w:r>
    </w:p>
    <w:p>
      <w:r>
        <w:t>teams can adapt the following process to the scope and stage of their project.</w:t>
      </w:r>
    </w:p>
    <w:p>
      <w:pPr>
        <w:pStyle w:val="ListBullet"/>
      </w:pPr>
      <w:r>
        <w:t>Define the decision: identify what participants or community partners can meaningfully influence, such as</w:t>
      </w:r>
    </w:p>
    <w:p>
      <w:r>
        <w:t>recruitment language, consent, device interaction, sensory settings, physical setup, outcome selection, or</w:t>
      </w:r>
    </w:p>
    <w:p>
      <w:r>
        <w:t>interpretation.</w:t>
      </w:r>
    </w:p>
    <w:p>
      <w:pPr>
        <w:pStyle w:val="ListBullet"/>
      </w:pPr>
      <w:r>
        <w:t>Recruit relevant perspectives: seek people whose access needs relate to the study demands. Avoid</w:t>
      </w:r>
    </w:p>
    <w:p>
      <w:r>
        <w:t>assuming one person represents an entire disability community.</w:t>
      </w:r>
    </w:p>
    <w:p>
      <w:pPr>
        <w:pStyle w:val="ListBullet"/>
      </w:pPr>
      <w:r>
        <w:t>Make engagement accessible: ask about communication, scheduling, format, technology, sensory,</w:t>
      </w:r>
    </w:p>
    <w:p>
      <w:r>
        <w:t>mobility, and other participation needs.</w:t>
      </w:r>
    </w:p>
    <w:p>
      <w:pPr>
        <w:pStyle w:val="ListBullet"/>
      </w:pPr>
      <w:r>
        <w:t>Compensate when feasible and appropriate: plan compensation for lived-experience expertise</w:t>
      </w:r>
    </w:p>
    <w:p>
      <w:r>
        <w:t>consistent with institutional and funding requirements.</w:t>
      </w:r>
    </w:p>
    <w:p>
      <w:pPr>
        <w:pStyle w:val="ListBullet"/>
      </w:pPr>
      <w:r>
        <w:t>Document influence: record recommendations, decisions, modifications, and reasons when a</w:t>
      </w:r>
    </w:p>
    <w:p>
      <w:r>
        <w:t>recommendation cannot be adopted.</w:t>
      </w:r>
    </w:p>
    <w:p>
      <w:pPr>
        <w:pStyle w:val="ListBullet"/>
      </w:pPr>
      <w:r>
        <w:t>Close the feedback loop: tell contributors what changed because of their input and what remains under</w:t>
      </w:r>
    </w:p>
    <w:p>
      <w:r>
        <w:t>review.</w:t>
      </w:r>
    </w:p>
    <w:p>
      <w:pPr>
        <w:pStyle w:val="Heading2"/>
      </w:pPr>
      <w:r>
        <w:t>Co-design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tblHeader w:val="true"/>
        </w:trPr>
        <w:tc>
          <w:tcPr>
            <w:tcW w:type="dxa" w:w="4320"/>
          </w:tcPr>
          <w:p>
            <w:pPr>
              <w:spacing w:after="40"/>
            </w:pPr>
            <w:r>
              <w:rPr>
                <w:sz w:val="16"/>
              </w:rPr>
              <w:t>Question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6"/>
              </w:rPr>
              <w:t>Record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Who was engaged and what relevant access perspectives were represented?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________________________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What study decision(s) could they influence?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________________________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What barriers or recommendations were identified?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________________________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What changed because of the input?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________________________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What was not changed, and why?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________________________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How was the feedback loop closed?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________________________</w:t>
            </w:r>
          </w:p>
        </w:tc>
      </w:tr>
    </w:tbl>
    <w:p>
      <w:pPr>
        <w:pStyle w:val="Heading1"/>
      </w:pPr>
      <w:r>
        <w:t>9. Implementation and Adaptation Guide</w:t>
      </w:r>
    </w:p>
    <w:p>
      <w:r>
        <w:t>The toolkit is intentionally platform-independent. A research team may adopt the entire framework or</w:t>
      </w:r>
    </w:p>
    <w:p>
      <w:r>
        <w:t>individual components without using NeuroViu technology or Skyward Sojourn.</w:t>
      </w:r>
    </w:p>
    <w:p>
      <w:pPr>
        <w:pStyle w:val="Heading2"/>
      </w:pPr>
      <w:r>
        <w:t>Minimum implementation set</w:t>
      </w:r>
    </w:p>
    <w:p>
      <w:pPr>
        <w:pStyle w:val="ListBullet"/>
      </w:pPr>
      <w:r>
        <w:t>Assign a team member responsible for accessibility planning and escalation.</w:t>
      </w:r>
    </w:p>
    <w:p>
      <w:pPr>
        <w:pStyle w:val="ListBullet"/>
      </w:pPr>
      <w:r>
        <w:t>Complete the Accessibility Planning Checklist during protocol development.</w:t>
      </w:r>
    </w:p>
    <w:p>
      <w:pPr>
        <w:pStyle w:val="ListBullet"/>
      </w:pPr>
      <w:r>
        <w:t>Provide an accommodation-request pathway before participation.</w:t>
      </w:r>
    </w:p>
    <w:p>
      <w:pPr>
        <w:pStyle w:val="ListBullet"/>
      </w:pPr>
      <w:r>
        <w:t>Use the Participant Accommodation Planning Form when an access need is identified.</w:t>
      </w:r>
    </w:p>
    <w:p>
      <w:pPr>
        <w:pStyle w:val="ListBullet"/>
      </w:pPr>
      <w:r>
        <w:t>Train staff on the Pause / Stop / Modification Procedure.</w:t>
      </w:r>
    </w:p>
    <w:p>
      <w:pPr>
        <w:pStyle w:val="ListBullet"/>
      </w:pPr>
      <w:r>
        <w:t>Use the Barrier → Accommodation → Participant Response → Design Modification Log.</w:t>
      </w:r>
    </w:p>
    <w:p>
      <w:pPr>
        <w:pStyle w:val="ListBullet"/>
      </w:pPr>
      <w:r>
        <w:t>Apply the Behavioral Data Interpretation Safeguards during analysis and interpretation.</w:t>
      </w:r>
    </w:p>
    <w:p>
      <w:pPr>
        <w:pStyle w:val="ListBullet"/>
      </w:pPr>
      <w:r>
        <w:t>Review accessibility feedback at defined intervals and convert recurring issues into permanent</w:t>
      </w:r>
    </w:p>
    <w:p>
      <w:r>
        <w:t>improvements.</w:t>
      </w:r>
    </w:p>
    <w:p>
      <w:pPr>
        <w:pStyle w:val="Heading2"/>
      </w:pPr>
      <w:r>
        <w:t>Adaptation questions</w:t>
      </w:r>
    </w:p>
    <w:p>
      <w:pPr>
        <w:pStyle w:val="ListBullet"/>
      </w:pPr>
      <w:r>
        <w:t>Which study requirements are scientifically essential, and which can be modified?</w:t>
      </w:r>
    </w:p>
    <w:p>
      <w:pPr>
        <w:pStyle w:val="ListBullet"/>
      </w:pPr>
      <w:r>
        <w:t>Which disability-related access needs are most relevant to the technology and procedures?</w:t>
      </w:r>
    </w:p>
    <w:p>
      <w:pPr>
        <w:pStyle w:val="ListBullet"/>
      </w:pPr>
      <w:r>
        <w:t>What alternative input, positioning, communication, or sensory options can be supported?</w:t>
      </w:r>
    </w:p>
    <w:p>
      <w:pPr>
        <w:pStyle w:val="ListBullet"/>
      </w:pPr>
      <w:r>
        <w:t>What accommodations could affect measurement and therefore need to be documented analytically?</w:t>
      </w:r>
    </w:p>
    <w:p>
      <w:pPr>
        <w:pStyle w:val="ListBullet"/>
      </w:pPr>
      <w:r>
        <w:t>How will participants and lived-experience contributors learn what changed because of their feedback?</w:t>
      </w:r>
    </w:p>
    <w:p>
      <w:pPr>
        <w:pStyle w:val="ListBullet"/>
      </w:pPr>
      <w:r>
        <w:t>How will the team measure whether accessibility practices improve participation or experience?</w:t>
      </w:r>
    </w:p>
    <w:p>
      <w:pPr>
        <w:pStyle w:val="Heading2"/>
      </w:pPr>
      <w:r>
        <w:t>Suggested evaluation indicators</w:t>
      </w:r>
    </w:p>
    <w:p>
      <w:pPr>
        <w:pStyle w:val="ListBullet"/>
      </w:pPr>
      <w:r>
        <w:t>Recruitment: accessibility inquiries, accommodation requests, and screening exclusions related to access.</w:t>
      </w:r>
    </w:p>
    <w:p>
      <w:pPr>
        <w:pStyle w:val="ListBullet"/>
      </w:pPr>
      <w:r>
        <w:t>Accommodation: requests received, accommodations offered/implemented, unresolved barriers.</w:t>
      </w:r>
    </w:p>
    <w:p>
      <w:pPr>
        <w:pStyle w:val="ListBullet"/>
      </w:pPr>
      <w:r>
        <w:t>Participation: completion with accommodations, pauses/modifications, access-related noncompletion.</w:t>
      </w:r>
    </w:p>
    <w:p>
      <w:pPr>
        <w:pStyle w:val="ListBullet"/>
      </w:pPr>
      <w:r>
        <w:t>Experience: participant-reported accessibility, usability, comfort, communication, and perceived control.</w:t>
      </w:r>
    </w:p>
    <w:p>
      <w:pPr>
        <w:pStyle w:val="ListBullet"/>
      </w:pPr>
      <w:r>
        <w:t>Improvement: protocol, technology, training, or material changes resulting from</w:t>
      </w:r>
    </w:p>
    <w:p>
      <w:r>
        <w:t>participant/lived-experience input.</w:t>
      </w:r>
    </w:p>
    <w:p>
      <w:pPr>
        <w:pStyle w:val="ListBullet"/>
      </w:pPr>
      <w:r>
        <w:t>Sustainability: toolkit components incorporated into standard protocols, onboarding, or recurring research</w:t>
      </w:r>
    </w:p>
    <w:p>
      <w:r>
        <w:t>workflows.</w:t>
      </w:r>
    </w:p>
    <w:p>
      <w:pPr>
        <w:pStyle w:val="Heading1"/>
      </w:pPr>
      <w:r>
        <w:t>10. Skyward Sojourn Implementation Context</w:t>
      </w:r>
    </w:p>
    <w:p>
      <w:r>
        <w:t>Skyward Sojourn is the initial VR research environment informing development of Accessible Adaptive VR. In</w:t>
      </w:r>
    </w:p>
    <w:p>
      <w:r>
        <w:t>the preliminary study, eight adults who reported fear of heights completed a single 35-45 minute immersive</w:t>
      </w:r>
    </w:p>
    <w:p>
      <w:r>
        <w:t>exposure session with participant-paced progression and facilitator support. Self-reported distress was</w:t>
      </w:r>
    </w:p>
    <w:p>
      <w:r>
        <w:t>collected during the procedure, and mean pre-session SUDS was 70.51 compared with 35.19 after the</w:t>
      </w:r>
    </w:p>
    <w:p>
      <w:r>
        <w:t>session.</w:t>
      </w:r>
    </w:p>
    <w:p>
      <w:r>
        <w:t>These preliminary findings demonstrate implementation of the underlying VR environment, but</w:t>
      </w:r>
    </w:p>
    <w:p>
      <w:r>
        <w:t>they do not establish the effectiveness of the disability-inclusion framework. Disability status,</w:t>
      </w:r>
    </w:p>
    <w:p>
      <w:r>
        <w:t>accessibility barriers, and accommodations were not systematically documented in that study.</w:t>
      </w:r>
    </w:p>
    <w:p>
      <w:r>
        <w:t>The inclusion framework has been developed for future evaluation for subsequent research, where</w:t>
      </w:r>
    </w:p>
    <w:p>
      <w:r>
        <w:t>accessibility barriers, accommodations, participant responses, and resulting modifications can</w:t>
      </w:r>
    </w:p>
    <w:p>
      <w:r>
        <w:t>be documented prospectively.</w:t>
      </w:r>
    </w:p>
    <w:p>
      <w:r>
        <w:t>The framework also reflects an important methodological safeguard identified for future technology-assisted</w:t>
      </w:r>
    </w:p>
    <w:p>
      <w:r>
        <w:t>research: behavioral signals such as slower approach, postural sway, or use of physical supports should not</w:t>
      </w:r>
    </w:p>
    <w:p>
      <w:r>
        <w:t>automatically be interpreted as fear because mobility, balance, motor differences, assistive-device use, and</w:t>
      </w:r>
    </w:p>
    <w:p>
      <w:r>
        <w:t>individual movement patterns may produce similar observations.</w:t>
      </w:r>
    </w:p>
    <w:p>
      <w:r>
        <w:t>Future human-participant research using this framework should proceed under appropriate ethics review and</w:t>
      </w:r>
    </w:p>
    <w:p>
      <w:r>
        <w:t>applicable institutional requirements before enrollment.</w:t>
      </w:r>
    </w:p>
    <w:p>
      <w:pPr>
        <w:pStyle w:val="Heading2"/>
      </w:pPr>
      <w:r>
        <w:t>Resource maintenance</w:t>
      </w:r>
    </w:p>
    <w:p>
      <w:r>
        <w:t>This toolkit is intended to be updated as additional barriers, accommodations, lived-experience feedback, and</w:t>
      </w:r>
    </w:p>
    <w:p>
      <w:r>
        <w:t>implementation lessons are documented. Research teams adapting the resource should retain the core</w:t>
      </w:r>
    </w:p>
    <w:p>
      <w:r>
        <w:t>principles of prospective accessibility planning, participant control, lived-experience engagement, contextual</w:t>
      </w:r>
    </w:p>
    <w:p>
      <w:r>
        <w:t>data interpretation, and traceable improvement.</w:t>
      </w:r>
    </w:p>
    <w:p>
      <w:r>
        <w:t>Prepared as a public-facing implementation resource for the Accessible Adaptive VR disability-inclusion approach.</w:t>
      </w:r>
    </w:p>
    <w:sectPr w:rsidR="00FC693F" w:rsidRPr="0006063C" w:rsidSect="00034616">
      <w:footerReference w:type="default" r:id="rId9"/>
      <w:pgSz w:w="12240" w:h="15840"/>
      <w:pgMar w:top="1152" w:right="1800" w:bottom="1080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NeuroViu | Accessibility Toolkit v1.0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E27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65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2365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65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NeuroViu Disability-Inclusive Clinical Research Accessibility Toolkit (v1.0)</dc:title>
  <dc:subject>Cross-disability clinical research accessibility planning and implementation toolkit</dc:subject>
  <dc:creator>NeuroViu</dc:creator>
  <cp:keywords>NeuroViu; accessibility; disability inclusion; clinical research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