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轴承寿命预测与故障诊断系统：技术预研报告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**开题阶段** 工作产品：**技术预研报告**。说明数据集、特征工程、模型、工程工具和复现实验的预研结论。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技术预研范围</w:t>
      </w:r>
    </w:p>
    <w:p>
      <w:r>
        <w:t>技术预研覆盖数据集、信号处理、特征工程、标签构造、模型训练、评估指标、可视化和工程工具。预研结论直接影响后续 SRS、设计文档、测试计划和用户手册。</w:t>
      </w:r>
    </w:p>
    <w:p>
      <w:pPr>
        <w:pStyle w:val="Heading2"/>
      </w:pPr>
      <w:r>
        <w:t>数据集预研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数据集</w:t>
            </w:r>
          </w:p>
        </w:tc>
        <w:tc>
          <w:tcPr>
            <w:tcW w:type="dxa" w:w="2160"/>
          </w:tcPr>
          <w:p>
            <w:r>
              <w:t>特点</w:t>
            </w:r>
          </w:p>
        </w:tc>
        <w:tc>
          <w:tcPr>
            <w:tcW w:type="dxa" w:w="2160"/>
          </w:tcPr>
          <w:p>
            <w:r>
              <w:t>风险</w:t>
            </w:r>
          </w:p>
        </w:tc>
        <w:tc>
          <w:tcPr>
            <w:tcW w:type="dxa" w:w="2160"/>
          </w:tcPr>
          <w:p>
            <w:r>
              <w:t>处理策略</w:t>
            </w:r>
          </w:p>
        </w:tc>
      </w:tr>
      <w:tr>
        <w:tc>
          <w:tcPr>
            <w:tcW w:type="dxa" w:w="2160"/>
          </w:tcPr>
          <w:p>
            <w:r>
              <w:t>PHM2012/PRONOSTIA</w:t>
            </w:r>
          </w:p>
        </w:tc>
        <w:tc>
          <w:tcPr>
            <w:tcW w:type="dxa" w:w="2160"/>
          </w:tcPr>
          <w:p>
            <w:r>
              <w:t>全寿命退化、采样频率高、官方划分常见</w:t>
            </w:r>
          </w:p>
        </w:tc>
        <w:tc>
          <w:tcPr>
            <w:tcW w:type="dxa" w:w="2160"/>
          </w:tcPr>
          <w:p>
            <w:r>
              <w:t>文件格式存在分隔符差异</w:t>
            </w:r>
          </w:p>
        </w:tc>
        <w:tc>
          <w:tcPr>
            <w:tcW w:type="dxa" w:w="2160"/>
          </w:tcPr>
          <w:p>
            <w:r>
              <w:t>loader 层兼容逗号和分号</w:t>
            </w:r>
          </w:p>
        </w:tc>
      </w:tr>
      <w:tr>
        <w:tc>
          <w:tcPr>
            <w:tcW w:type="dxa" w:w="2160"/>
          </w:tcPr>
          <w:p>
            <w:r>
              <w:t>XJTU-SY</w:t>
            </w:r>
          </w:p>
        </w:tc>
        <w:tc>
          <w:tcPr>
            <w:tcW w:type="dxa" w:w="2160"/>
          </w:tcPr>
          <w:p>
            <w:r>
              <w:t>多工况、多轴承、适合跨工况验证</w:t>
            </w:r>
          </w:p>
        </w:tc>
        <w:tc>
          <w:tcPr>
            <w:tcW w:type="dxa" w:w="2160"/>
          </w:tcPr>
          <w:p>
            <w:r>
              <w:t>数据量较大，训练耗时</w:t>
            </w:r>
          </w:p>
        </w:tc>
        <w:tc>
          <w:tcPr>
            <w:tcW w:type="dxa" w:w="2160"/>
          </w:tcPr>
          <w:p>
            <w:r>
              <w:t>建立 sample index 与可配置 split</w:t>
            </w:r>
          </w:p>
        </w:tc>
      </w:tr>
      <w:tr>
        <w:tc>
          <w:tcPr>
            <w:tcW w:type="dxa" w:w="2160"/>
          </w:tcPr>
          <w:p>
            <w:r>
              <w:t>本地演示数据</w:t>
            </w:r>
          </w:p>
        </w:tc>
        <w:tc>
          <w:tcPr>
            <w:tcW w:type="dxa" w:w="2160"/>
          </w:tcPr>
          <w:p>
            <w:r>
              <w:t>体量小，可快速运行</w:t>
            </w:r>
          </w:p>
        </w:tc>
        <w:tc>
          <w:tcPr>
            <w:tcW w:type="dxa" w:w="2160"/>
          </w:tcPr>
          <w:p>
            <w:r>
              <w:t>不代表真实指标</w:t>
            </w:r>
          </w:p>
        </w:tc>
        <w:tc>
          <w:tcPr>
            <w:tcW w:type="dxa" w:w="2160"/>
          </w:tcPr>
          <w:p>
            <w:r>
              <w:t>只用于 CLI demo 和 smoke 测试</w:t>
            </w:r>
          </w:p>
        </w:tc>
      </w:tr>
    </w:tbl>
    <w:p>
      <w:pPr>
        <w:pStyle w:val="Heading2"/>
      </w:pPr>
      <w:r>
        <w:t>特征工程预研</w:t>
      </w:r>
    </w:p>
    <w:p>
      <w:r>
        <w:t>预研了人工时域特征、频域特征、频带能量、tsfresh 统计特征和特征选择。人工特征适合解释，tsfresh 适合覆盖更多候选模式；答辩中需要同时说明 label-source 特征的收益和泄漏风险。</w:t>
      </w:r>
    </w:p>
    <w:p>
      <w:pPr>
        <w:pStyle w:val="Heading2"/>
      </w:pPr>
      <w:r>
        <w:t>模型与训练预研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适用任务</w:t>
            </w:r>
          </w:p>
        </w:tc>
        <w:tc>
          <w:tcPr>
            <w:tcW w:type="dxa" w:w="2880"/>
          </w:tcPr>
          <w:p>
            <w:r>
              <w:t>预研结论</w:t>
            </w:r>
          </w:p>
        </w:tc>
      </w:tr>
      <w:tr>
        <w:tc>
          <w:tcPr>
            <w:tcW w:type="dxa" w:w="2880"/>
          </w:tcPr>
          <w:p>
            <w:r>
              <w:t>MLP</w:t>
            </w:r>
          </w:p>
        </w:tc>
        <w:tc>
          <w:tcPr>
            <w:tcW w:type="dxa" w:w="2880"/>
          </w:tcPr>
          <w:p>
            <w:r>
              <w:t>表格特征基线</w:t>
            </w:r>
          </w:p>
        </w:tc>
        <w:tc>
          <w:tcPr>
            <w:tcW w:type="dxa" w:w="2880"/>
          </w:tcPr>
          <w:p>
            <w:r>
              <w:t>训练快，适合建立对照</w:t>
            </w:r>
          </w:p>
        </w:tc>
      </w:tr>
      <w:tr>
        <w:tc>
          <w:tcPr>
            <w:tcW w:type="dxa" w:w="2880"/>
          </w:tcPr>
          <w:p>
            <w:r>
              <w:t>CNN</w:t>
            </w:r>
          </w:p>
        </w:tc>
        <w:tc>
          <w:tcPr>
            <w:tcW w:type="dxa" w:w="2880"/>
          </w:tcPr>
          <w:p>
            <w:r>
              <w:t>原始/窗口信号</w:t>
            </w:r>
          </w:p>
        </w:tc>
        <w:tc>
          <w:tcPr>
            <w:tcW w:type="dxa" w:w="2880"/>
          </w:tcPr>
          <w:p>
            <w:r>
              <w:t>可捕获局部模式，但输入尺寸需固定</w:t>
            </w:r>
          </w:p>
        </w:tc>
      </w:tr>
      <w:tr>
        <w:tc>
          <w:tcPr>
            <w:tcW w:type="dxa" w:w="2880"/>
          </w:tcPr>
          <w:p>
            <w:r>
              <w:t>GRU/LSTM</w:t>
            </w:r>
          </w:p>
        </w:tc>
        <w:tc>
          <w:tcPr>
            <w:tcW w:type="dxa" w:w="2880"/>
          </w:tcPr>
          <w:p>
            <w:r>
              <w:t>序列 RUL 和故障识别</w:t>
            </w:r>
          </w:p>
        </w:tc>
        <w:tc>
          <w:tcPr>
            <w:tcW w:type="dxa" w:w="2880"/>
          </w:tcPr>
          <w:p>
            <w:r>
              <w:t>适合展示训练过程和时序建模</w:t>
            </w:r>
          </w:p>
        </w:tc>
      </w:tr>
      <w:tr>
        <w:tc>
          <w:tcPr>
            <w:tcW w:type="dxa" w:w="2880"/>
          </w:tcPr>
          <w:p>
            <w:r>
              <w:t>RandomForest/XGBoost</w:t>
            </w:r>
          </w:p>
        </w:tc>
        <w:tc>
          <w:tcPr>
            <w:tcW w:type="dxa" w:w="2880"/>
          </w:tcPr>
          <w:p>
            <w:r>
              <w:t>表格任务</w:t>
            </w:r>
          </w:p>
        </w:tc>
        <w:tc>
          <w:tcPr>
            <w:tcW w:type="dxa" w:w="2880"/>
          </w:tcPr>
          <w:p>
            <w:r>
              <w:t>指标稳定、可解释，适合作为非深度基线</w:t>
            </w:r>
          </w:p>
        </w:tc>
      </w:tr>
    </w:tbl>
    <w:p>
      <w:pPr>
        <w:pStyle w:val="Heading2"/>
      </w:pPr>
      <w:r>
        <w:t>工程工具预研</w:t>
      </w:r>
    </w:p>
    <w:p>
      <w:r>
        <w:t>项目采用 `uv` 固化依赖，Hydra 管理配置，pytest 做自动化测试，Jupyter Notebook 做交互式示例，静态 Dashboard 和 mp4 视频做演示材料。配置和运行产物分离，避免把大数据、模型权重或缓存提交到仓库。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