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轴承寿命预测与故障诊断系统：设计文档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**中期检查阶段** 工作产品：**设计文档**。给出总体架构、数据设计、接口设计、训练评估流和部署约束。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总体架构</w:t>
      </w:r>
    </w:p>
    <w:p>
      <w:r>
        <w:t>系统采用离线实验框架架构，核心是配置驱动的数据-特征-标签-任务-模型-评估流水线。业务逻辑不绑定具体数据路径，实验运行会保存 resolved config 和运行元数据。</w:t>
      </w:r>
    </w:p>
    <w:p>
      <w:pPr>
        <w:pStyle w:val="Heading2"/>
      </w:pPr>
      <w:r>
        <w:t>源码目录结构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目录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`data`</w:t>
            </w:r>
          </w:p>
        </w:tc>
        <w:tc>
          <w:tcPr>
            <w:tcW w:type="dxa" w:w="4320"/>
          </w:tcPr>
          <w:p>
            <w:r>
              <w:t>旧版 Entity/Dataset、loader、processor、labeler</w:t>
            </w:r>
          </w:p>
        </w:tc>
      </w:tr>
      <w:tr>
        <w:tc>
          <w:tcPr>
            <w:tcW w:type="dxa" w:w="4320"/>
          </w:tcPr>
          <w:p>
            <w:r>
              <w:t>`infra/index`</w:t>
            </w:r>
          </w:p>
        </w:tc>
        <w:tc>
          <w:tcPr>
            <w:tcW w:type="dxa" w:w="4320"/>
          </w:tcPr>
          <w:p>
            <w:r>
              <w:t>原始文件 sample index 构建与校验</w:t>
            </w:r>
          </w:p>
        </w:tc>
      </w:tr>
      <w:tr>
        <w:tc>
          <w:tcPr>
            <w:tcW w:type="dxa" w:w="4320"/>
          </w:tcPr>
          <w:p>
            <w:r>
              <w:t>`infra/split`</w:t>
            </w:r>
          </w:p>
        </w:tc>
        <w:tc>
          <w:tcPr>
            <w:tcW w:type="dxa" w:w="4320"/>
          </w:tcPr>
          <w:p>
            <w:r>
              <w:t>官方划分、跨工况划分、留一轴承划分</w:t>
            </w:r>
          </w:p>
        </w:tc>
      </w:tr>
      <w:tr>
        <w:tc>
          <w:tcPr>
            <w:tcW w:type="dxa" w:w="4320"/>
          </w:tcPr>
          <w:p>
            <w:r>
              <w:t>`infra/feature`</w:t>
            </w:r>
          </w:p>
        </w:tc>
        <w:tc>
          <w:tcPr>
            <w:tcW w:type="dxa" w:w="4320"/>
          </w:tcPr>
          <w:p>
            <w:r>
              <w:t>特征抽取、清洗、存储和报告</w:t>
            </w:r>
          </w:p>
        </w:tc>
      </w:tr>
      <w:tr>
        <w:tc>
          <w:tcPr>
            <w:tcW w:type="dxa" w:w="4320"/>
          </w:tcPr>
          <w:p>
            <w:r>
              <w:t>`infra/label`</w:t>
            </w:r>
          </w:p>
        </w:tc>
        <w:tc>
          <w:tcPr>
            <w:tcW w:type="dxa" w:w="4320"/>
          </w:tcPr>
          <w:p>
            <w:r>
              <w:t>RUL、健康状态、早期故障等标签构造</w:t>
            </w:r>
          </w:p>
        </w:tc>
      </w:tr>
      <w:tr>
        <w:tc>
          <w:tcPr>
            <w:tcW w:type="dxa" w:w="4320"/>
          </w:tcPr>
          <w:p>
            <w:r>
              <w:t>`infra/task`</w:t>
            </w:r>
          </w:p>
        </w:tc>
        <w:tc>
          <w:tcPr>
            <w:tcW w:type="dxa" w:w="4320"/>
          </w:tcPr>
          <w:p>
            <w:r>
              <w:t>表格/序列任务数据集构造</w:t>
            </w:r>
          </w:p>
        </w:tc>
      </w:tr>
      <w:tr>
        <w:tc>
          <w:tcPr>
            <w:tcW w:type="dxa" w:w="4320"/>
          </w:tcPr>
          <w:p>
            <w:r>
              <w:t>`engine`</w:t>
            </w:r>
          </w:p>
        </w:tc>
        <w:tc>
          <w:tcPr>
            <w:tcW w:type="dxa" w:w="4320"/>
          </w:tcPr>
          <w:p>
            <w:r>
              <w:t>trainer、tester、metric、callback、loss</w:t>
            </w:r>
          </w:p>
        </w:tc>
      </w:tr>
      <w:tr>
        <w:tc>
          <w:tcPr>
            <w:tcW w:type="dxa" w:w="4320"/>
          </w:tcPr>
          <w:p>
            <w:r>
              <w:t>`model`</w:t>
            </w:r>
          </w:p>
        </w:tc>
        <w:tc>
          <w:tcPr>
            <w:tcW w:type="dxa" w:w="4320"/>
          </w:tcPr>
          <w:p>
            <w:r>
              <w:t>MLP、CNN、GRU、LSTM、经典网络</w:t>
            </w:r>
          </w:p>
        </w:tc>
      </w:tr>
      <w:tr>
        <w:tc>
          <w:tcPr>
            <w:tcW w:type="dxa" w:w="4320"/>
          </w:tcPr>
          <w:p>
            <w:r>
              <w:t>`analysis`</w:t>
            </w:r>
          </w:p>
        </w:tc>
        <w:tc>
          <w:tcPr>
            <w:tcW w:type="dxa" w:w="4320"/>
          </w:tcPr>
          <w:p>
            <w:r>
              <w:t>特征分析、推荐报告、图表构造</w:t>
            </w:r>
          </w:p>
        </w:tc>
      </w:tr>
      <w:tr>
        <w:tc>
          <w:tcPr>
            <w:tcW w:type="dxa" w:w="4320"/>
          </w:tcPr>
          <w:p>
            <w:r>
              <w:t>`cli`</w:t>
            </w:r>
          </w:p>
        </w:tc>
        <w:tc>
          <w:tcPr>
            <w:tcW w:type="dxa" w:w="4320"/>
          </w:tcPr>
          <w:p>
            <w:r>
              <w:t>Hydra CLI 入口</w:t>
            </w:r>
          </w:p>
        </w:tc>
      </w:tr>
    </w:tbl>
    <w:p>
      <w:pPr>
        <w:pStyle w:val="Heading2"/>
      </w:pPr>
      <w:r>
        <w:t>CLI 模式表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作用</w:t>
            </w:r>
          </w:p>
        </w:tc>
        <w:tc>
          <w:tcPr>
            <w:tcW w:type="dxa" w:w="2160"/>
          </w:tcPr>
          <w:p>
            <w:r>
              <w:t>典型输出</w:t>
            </w:r>
          </w:p>
        </w:tc>
      </w:tr>
      <w:tr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Stage 0</w:t>
            </w:r>
          </w:p>
        </w:tc>
        <w:tc>
          <w:tcPr>
            <w:tcW w:type="dxa" w:w="2160"/>
          </w:tcPr>
          <w:p>
            <w:r>
              <w:t>校验配置并保存 run 元数据</w:t>
            </w:r>
          </w:p>
        </w:tc>
        <w:tc>
          <w:tcPr>
            <w:tcW w:type="dxa" w:w="2160"/>
          </w:tcPr>
          <w:p>
            <w:r>
              <w:t>`validation_report.json`</w:t>
            </w:r>
          </w:p>
        </w:tc>
      </w:tr>
      <w:tr>
        <w:tc>
          <w:tcPr>
            <w:tcW w:type="dxa" w:w="2160"/>
          </w:tcPr>
          <w:p>
            <w:r>
              <w:t>build_index</w:t>
            </w:r>
          </w:p>
        </w:tc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构造 sample index 和 split</w:t>
            </w:r>
          </w:p>
        </w:tc>
        <w:tc>
          <w:tcPr>
            <w:tcW w:type="dxa" w:w="2160"/>
          </w:tcPr>
          <w:p>
            <w:r>
              <w:t>`index/`、`split/`</w:t>
            </w:r>
          </w:p>
        </w:tc>
      </w:tr>
      <w:tr>
        <w:tc>
          <w:tcPr>
            <w:tcW w:type="dxa" w:w="2160"/>
          </w:tcPr>
          <w:p>
            <w:r>
              <w:t>extract_features</w:t>
            </w:r>
          </w:p>
        </w:tc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抽取并清洗特征</w:t>
            </w:r>
          </w:p>
        </w:tc>
        <w:tc>
          <w:tcPr>
            <w:tcW w:type="dxa" w:w="2160"/>
          </w:tcPr>
          <w:p>
            <w:r>
              <w:t>`features/`</w:t>
            </w:r>
          </w:p>
        </w:tc>
      </w:tr>
      <w:tr>
        <w:tc>
          <w:tcPr>
            <w:tcW w:type="dxa" w:w="2160"/>
          </w:tcPr>
          <w:p>
            <w:r>
              <w:t>build_labels</w:t>
            </w:r>
          </w:p>
        </w:tc>
        <w:tc>
          <w:tcPr>
            <w:tcW w:type="dxa" w:w="2160"/>
          </w:tcPr>
          <w:p>
            <w:r>
              <w:t>Stage 3</w:t>
            </w:r>
          </w:p>
        </w:tc>
        <w:tc>
          <w:tcPr>
            <w:tcW w:type="dxa" w:w="2160"/>
          </w:tcPr>
          <w:p>
            <w:r>
              <w:t>构造任务标签</w:t>
            </w:r>
          </w:p>
        </w:tc>
        <w:tc>
          <w:tcPr>
            <w:tcW w:type="dxa" w:w="2160"/>
          </w:tcPr>
          <w:p>
            <w:r>
              <w:t>`labels/`</w:t>
            </w:r>
          </w:p>
        </w:tc>
      </w:tr>
      <w:tr>
        <w:tc>
          <w:tcPr>
            <w:tcW w:type="dxa" w:w="2160"/>
          </w:tcPr>
          <w:p>
            <w:r>
              <w:t>inspect_task</w:t>
            </w:r>
          </w:p>
        </w:tc>
        <w:tc>
          <w:tcPr>
            <w:tcW w:type="dxa" w:w="2160"/>
          </w:tcPr>
          <w:p>
            <w:r>
              <w:t>Stage 4</w:t>
            </w:r>
          </w:p>
        </w:tc>
        <w:tc>
          <w:tcPr>
            <w:tcW w:type="dxa" w:w="2160"/>
          </w:tcPr>
          <w:p>
            <w:r>
              <w:t>检查任务数据集</w:t>
            </w:r>
          </w:p>
        </w:tc>
        <w:tc>
          <w:tcPr>
            <w:tcW w:type="dxa" w:w="2160"/>
          </w:tcPr>
          <w:p>
            <w:r>
              <w:t>`task/`</w:t>
            </w:r>
          </w:p>
        </w:tc>
      </w:tr>
      <w:tr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Stage 5</w:t>
            </w:r>
          </w:p>
        </w:tc>
        <w:tc>
          <w:tcPr>
            <w:tcW w:type="dxa" w:w="2160"/>
          </w:tcPr>
          <w:p>
            <w:r>
              <w:t>训练模型并保存 checkpoint</w:t>
            </w:r>
          </w:p>
        </w:tc>
        <w:tc>
          <w:tcPr>
            <w:tcW w:type="dxa" w:w="2160"/>
          </w:tcPr>
          <w:p>
            <w:r>
              <w:t>`checkpoints/`、`metrics/`</w:t>
            </w:r>
          </w:p>
        </w:tc>
      </w:tr>
      <w:tr>
        <w:tc>
          <w:tcPr>
            <w:tcW w:type="dxa" w:w="2160"/>
          </w:tcPr>
          <w:p>
            <w:r>
              <w:t>eval</w:t>
            </w:r>
          </w:p>
        </w:tc>
        <w:tc>
          <w:tcPr>
            <w:tcW w:type="dxa" w:w="2160"/>
          </w:tcPr>
          <w:p>
            <w:r>
              <w:t>Stage 5</w:t>
            </w:r>
          </w:p>
        </w:tc>
        <w:tc>
          <w:tcPr>
            <w:tcW w:type="dxa" w:w="2160"/>
          </w:tcPr>
          <w:p>
            <w:r>
              <w:t>加载 checkpoint 评估</w:t>
            </w:r>
          </w:p>
        </w:tc>
        <w:tc>
          <w:tcPr>
            <w:tcW w:type="dxa" w:w="2160"/>
          </w:tcPr>
          <w:p>
            <w:r>
              <w:t>`predictions/`、`metrics/`</w:t>
            </w:r>
          </w:p>
        </w:tc>
      </w:tr>
      <w:tr>
        <w:tc>
          <w:tcPr>
            <w:tcW w:type="dxa" w:w="2160"/>
          </w:tcPr>
          <w:p>
            <w:r>
              <w:t>analyze_features</w:t>
            </w:r>
          </w:p>
        </w:tc>
        <w:tc>
          <w:tcPr>
            <w:tcW w:type="dxa" w:w="2160"/>
          </w:tcPr>
          <w:p>
            <w:r>
              <w:t>Stage 6</w:t>
            </w:r>
          </w:p>
        </w:tc>
        <w:tc>
          <w:tcPr>
            <w:tcW w:type="dxa" w:w="2160"/>
          </w:tcPr>
          <w:p>
            <w:r>
              <w:t>生成特征分析报告</w:t>
            </w:r>
          </w:p>
        </w:tc>
        <w:tc>
          <w:tcPr>
            <w:tcW w:type="dxa" w:w="2160"/>
          </w:tcPr>
          <w:p>
            <w:r>
              <w:t>`analysis/`</w:t>
            </w:r>
          </w:p>
        </w:tc>
      </w:tr>
    </w:tbl>
    <w:p>
      <w:pPr>
        <w:pStyle w:val="Heading2"/>
      </w:pPr>
      <w:r>
        <w:t>数据设计</w:t>
      </w:r>
    </w:p>
    <w:p>
      <w:r>
        <w:t>原始 CSV 不直接进入训练器，而是先进入 sample index。sample index 记录 `sample_uid`、`bearing_id`、`condition_id`、`file_path` 等字段。后续 split、feature、label 和 task 都围绕 `sample_uid` 对齐，避免训练/验证/测试之间发生样本穿越。</w:t>
      </w:r>
    </w:p>
    <w:p>
      <w:pPr>
        <w:pStyle w:val="Heading2"/>
      </w:pPr>
      <w:r>
        <w:t>训练评估流</w:t>
      </w:r>
    </w:p>
    <w:p>
      <w:r>
        <w:rPr>
          <w:rFonts w:ascii="Courier New" w:hAnsi="Courier New"/>
          <w:sz w:val="18"/>
        </w:rPr>
        <w:t>dataset.root</w:t>
        <w:br/>
        <w:t>-&gt; IndexBuilder</w:t>
        <w:br/>
        <w:t>-&gt; SplitRegistry</w:t>
        <w:br/>
        <w:t>-&gt; FeatureExtractor</w:t>
        <w:br/>
        <w:t>-&gt; LabelBuilder</w:t>
        <w:br/>
        <w:t>-&gt; TaskBuilder / DataModule</w:t>
        <w:br/>
        <w:t>-&gt; ModelFactory</w:t>
        <w:br/>
        <w:t>-&gt; ConfigurableTrainer</w:t>
        <w:br/>
        <w:t>-&gt; MetricRegistry / PredictionStore</w:t>
        <w:br/>
        <w:t>-&gt; reports and figures</w:t>
      </w:r>
    </w:p>
    <w:p>
      <w:pPr>
        <w:pStyle w:val="Heading2"/>
      </w:pPr>
      <w:r>
        <w:t>接口设计</w:t>
      </w:r>
    </w:p>
    <w:p>
      <w:r>
        <w:t>模块之间通过配置对象、DataFrame、TaskDataset、checkpoint 和 JSON/Parquet 文件传递数据。CLI 入口负责组合配置和调度阶段，具体业务模块保持可单测。</w:t>
      </w:r>
    </w:p>
    <w:p>
      <w:pPr>
        <w:pStyle w:val="Heading2"/>
      </w:pPr>
      <w:r>
        <w:t>错误处理</w:t>
      </w:r>
    </w:p>
    <w:p>
      <w:r>
        <w:t>配置错误在 validate 阶段提前暴露；数据路径错误在 index 阶段暴露；训练中的 NaN、梯度异常和 early stopping 通过 callback 记录；评估阶段缺少 checkpoint 时直接失败并给出路径提示。</w:t>
      </w:r>
    </w:p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