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轴承寿命预测与故障诊断系统：单元测试计划文档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轴承寿命预测与故障诊断系统</w:t>
            </w:r>
          </w:p>
        </w:tc>
      </w:tr>
      <w:tr>
        <w:tc>
          <w:tcPr>
            <w:tcW w:type="dxa" w:w="4320"/>
          </w:tcPr>
          <w:p>
            <w:r>
              <w:t>小组成员</w:t>
            </w:r>
          </w:p>
        </w:tc>
        <w:tc>
          <w:tcPr>
            <w:tcW w:type="dxa" w:w="4320"/>
          </w:tcPr>
          <w:p>
            <w:r>
              <w:t>zyj、zdh、cyj、zy</w:t>
            </w:r>
          </w:p>
        </w:tc>
      </w:tr>
      <w:tr>
        <w:tc>
          <w:tcPr>
            <w:tcW w:type="dxa" w:w="4320"/>
          </w:tcPr>
          <w:p>
            <w:r>
              <w:t>组长</w:t>
            </w:r>
          </w:p>
        </w:tc>
        <w:tc>
          <w:tcPr>
            <w:tcW w:type="dxa" w:w="4320"/>
          </w:tcPr>
          <w:p>
            <w:r>
              <w:t>zyj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2026年6月</w:t>
            </w:r>
          </w:p>
        </w:tc>
      </w:tr>
    </w:tbl>
    <w:p>
      <w:pPr>
        <w:pStyle w:val="Heading2"/>
      </w:pPr>
      <w:r>
        <w:t>课程要求梳理</w:t>
      </w:r>
    </w:p>
    <w:p>
      <w:r>
        <w:t>本文件对应《工程实践各阶段要求》和《工程实践管理规范2025》中的 **中期检查阶段** 工作产品：**单元测试计划文档**。定义模块级测试范围、方法、数据和通过标准。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要求来源</w:t>
            </w:r>
          </w:p>
        </w:tc>
        <w:tc>
          <w:tcPr>
            <w:tcW w:type="dxa" w:w="2880"/>
          </w:tcPr>
          <w:p>
            <w:r>
              <w:t>关键要求</w:t>
            </w:r>
          </w:p>
        </w:tc>
        <w:tc>
          <w:tcPr>
            <w:tcW w:type="dxa" w:w="2880"/>
          </w:tcPr>
          <w:p>
            <w:r>
              <w:t>本文响应</w:t>
            </w:r>
          </w:p>
        </w:tc>
      </w:tr>
      <w:tr>
        <w:tc>
          <w:tcPr>
            <w:tcW w:type="dxa" w:w="2880"/>
          </w:tcPr>
          <w:p>
            <w:r>
              <w:t>工程实践各阶段要求</w:t>
            </w:r>
          </w:p>
        </w:tc>
        <w:tc>
          <w:tcPr>
            <w:tcW w:type="dxa" w:w="2880"/>
          </w:tcPr>
          <w:p>
            <w:r>
              <w:t>完成阶段任务并提交对应工作产品</w:t>
            </w:r>
          </w:p>
        </w:tc>
        <w:tc>
          <w:tcPr>
            <w:tcW w:type="dxa" w:w="2880"/>
          </w:tcPr>
          <w:p>
            <w:r>
              <w:t>本文按阶段产物补充内容和证据</w:t>
            </w:r>
          </w:p>
        </w:tc>
      </w:tr>
      <w:tr>
        <w:tc>
          <w:tcPr>
            <w:tcW w:type="dxa" w:w="2880"/>
          </w:tcPr>
          <w:p>
            <w:r>
              <w:t>工程实践管理规范2025</w:t>
            </w:r>
          </w:p>
        </w:tc>
        <w:tc>
          <w:tcPr>
            <w:tcW w:type="dxa" w:w="2880"/>
          </w:tcPr>
          <w:p>
            <w:r>
              <w:t>文档、代码、演示和过程管理需要可审查</w:t>
            </w:r>
          </w:p>
        </w:tc>
        <w:tc>
          <w:tcPr>
            <w:tcW w:type="dxa" w:w="2880"/>
          </w:tcPr>
          <w:p>
            <w:r>
              <w:t>本文引用仓库路径、测试和演示材料</w:t>
            </w:r>
          </w:p>
        </w:tc>
      </w:tr>
      <w:tr>
        <w:tc>
          <w:tcPr>
            <w:tcW w:type="dxa" w:w="2880"/>
          </w:tcPr>
          <w:p>
            <w:r>
              <w:t>课程结题归档</w:t>
            </w:r>
          </w:p>
        </w:tc>
        <w:tc>
          <w:tcPr>
            <w:tcW w:type="dxa" w:w="2880"/>
          </w:tcPr>
          <w:p>
            <w:r>
              <w:t>电子文档统一压缩提交</w:t>
            </w:r>
          </w:p>
        </w:tc>
        <w:tc>
          <w:tcPr>
            <w:tcW w:type="dxa" w:w="2880"/>
          </w:tcPr>
          <w:p>
            <w:r>
              <w:t>交付索引和 zip 包在 `delivery`</w:t>
            </w:r>
          </w:p>
        </w:tc>
      </w:tr>
    </w:tbl>
    <w:p>
      <w:pPr>
        <w:pStyle w:val="Heading2"/>
      </w:pPr>
      <w:r>
        <w:t>项目事实基线</w:t>
      </w:r>
    </w:p>
    <w:p>
      <w:pPr>
        <w:pStyle w:val="ListBullet"/>
      </w:pPr>
      <w:r>
        <w:t>代码路径：`src/USTC/SSE/BearingPrediction`。</w:t>
      </w:r>
    </w:p>
    <w:p>
      <w:pPr>
        <w:pStyle w:val="ListBullet"/>
      </w:pPr>
      <w:r>
        <w:t>对外推荐导入方式：通过安装后的 `phm` 包或 CLI 入口使用，历史物理命名空间保留为 `USTC.SSE.BearingPrediction`。</w:t>
      </w:r>
    </w:p>
    <w:p>
      <w:pPr>
        <w:pStyle w:val="ListBullet"/>
      </w:pPr>
      <w:r>
        <w:t>包管理方式：Python 3.11、`uv`、`pyproject.toml`、`uv.lock`。</w:t>
      </w:r>
    </w:p>
    <w:p>
      <w:pPr>
        <w:pStyle w:val="ListBullet"/>
      </w:pPr>
      <w:r>
        <w:t>数据入口：`data/loader_roots/phm2012` 和 `data/loader_roots/xjtu`，原始数据不进入 Git。</w:t>
      </w:r>
    </w:p>
    <w:p>
      <w:pPr>
        <w:pStyle w:val="ListBullet"/>
      </w:pPr>
      <w:r>
        <w:t>主线数据集：PHM2012/PRONOSTIA 与 XJTU-SY Bearing Datasets。</w:t>
      </w:r>
    </w:p>
    <w:p>
      <w:pPr>
        <w:pStyle w:val="ListBullet"/>
      </w:pPr>
      <w:r>
        <w:t>主线任务：RUL 回归、健康状态识别、早期故障识别、故障类型/阶段识别。</w:t>
      </w:r>
    </w:p>
    <w:p>
      <w:pPr>
        <w:pStyle w:val="ListBullet"/>
      </w:pPr>
      <w:r>
        <w:t>主要模块：数据加载、样本索引、划分、特征提取、标签构造、任务构造、模型训练、评估、分析和可视化。</w:t>
      </w:r>
    </w:p>
    <w:p>
      <w:pPr>
        <w:pStyle w:val="ListBullet"/>
      </w:pPr>
      <w:r>
        <w:t>演示材料：`reports/demo_videos`、`reports/demo_dashboard`、`reports/cli_demo`。</w:t>
      </w:r>
    </w:p>
    <w:p>
      <w:pPr>
        <w:pStyle w:val="ListBullet"/>
      </w:pPr>
      <w:r>
        <w:t>结题报告材料：`reports/final_defense/report` 与 `outputs`。</w:t>
      </w:r>
    </w:p>
    <w:p>
      <w:pPr>
        <w:pStyle w:val="ListBullet"/>
      </w:pPr>
      <w:r>
        <w:t>课程正式文档：`docx/md`、`docx/word`、`docx/pdf`。</w:t>
      </w:r>
    </w:p>
    <w:p>
      <w:pPr>
        <w:pStyle w:val="Heading2"/>
      </w:pPr>
      <w:r>
        <w:t>测试原则</w:t>
      </w:r>
    </w:p>
    <w:p>
      <w:r>
        <w:t>单元测试以模块职责为边界，优先验证数据形状、字段、指标、配置和边界条件。测试使用小数据 fixture，避免依赖外部大数据。</w:t>
      </w:r>
    </w:p>
    <w:p>
      <w:pPr>
        <w:pStyle w:val="Heading2"/>
      </w:pPr>
      <w:r>
        <w:t>测试项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测试重点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</w:tr>
      <w:tr>
        <w:tc>
          <w:tcPr>
            <w:tcW w:type="dxa" w:w="2880"/>
          </w:tcPr>
          <w:p>
            <w:r>
              <w:t>feature processors</w:t>
            </w:r>
          </w:p>
        </w:tc>
        <w:tc>
          <w:tcPr>
            <w:tcW w:type="dxa" w:w="2880"/>
          </w:tcPr>
          <w:p>
            <w:r>
              <w:t>均值、方差、RMS、FFT 等处理结果</w:t>
            </w:r>
          </w:p>
        </w:tc>
        <w:tc>
          <w:tcPr>
            <w:tcW w:type="dxa" w:w="2880"/>
          </w:tcPr>
          <w:p>
            <w:r>
              <w:t>`tests/test_feature_processors.py`</w:t>
            </w:r>
          </w:p>
        </w:tc>
      </w:tr>
      <w:tr>
        <w:tc>
          <w:tcPr>
            <w:tcW w:type="dxa" w:w="2880"/>
          </w:tcPr>
          <w:p>
            <w:r>
              <w:t>loader/split roots</w:t>
            </w:r>
          </w:p>
        </w:tc>
        <w:tc>
          <w:tcPr>
            <w:tcW w:type="dxa" w:w="2880"/>
          </w:tcPr>
          <w:p>
            <w:r>
              <w:t>数据根目录和软链接约定</w:t>
            </w:r>
          </w:p>
        </w:tc>
        <w:tc>
          <w:tcPr>
            <w:tcW w:type="dxa" w:w="2880"/>
          </w:tcPr>
          <w:p>
            <w:r>
              <w:t>`tests/test_loader_split_roots.py`</w:t>
            </w:r>
          </w:p>
        </w:tc>
      </w:tr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sample index 构造与校验</w:t>
            </w:r>
          </w:p>
        </w:tc>
        <w:tc>
          <w:tcPr>
            <w:tcW w:type="dxa" w:w="2880"/>
          </w:tcPr>
          <w:p>
            <w:r>
              <w:t>`tests/infra/index`</w:t>
            </w:r>
          </w:p>
        </w:tc>
      </w:tr>
      <w:tr>
        <w:tc>
          <w:tcPr>
            <w:tcW w:type="dxa" w:w="2880"/>
          </w:tcPr>
          <w:p>
            <w:r>
              <w:t>split</w:t>
            </w:r>
          </w:p>
        </w:tc>
        <w:tc>
          <w:tcPr>
            <w:tcW w:type="dxa" w:w="2880"/>
          </w:tcPr>
          <w:p>
            <w:r>
              <w:t>留一轴承、跨工况、官方划分</w:t>
            </w:r>
          </w:p>
        </w:tc>
        <w:tc>
          <w:tcPr>
            <w:tcW w:type="dxa" w:w="2880"/>
          </w:tcPr>
          <w:p>
            <w:r>
              <w:t>`tests/infra/split`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extractor、store、backend、cleaner</w:t>
            </w:r>
          </w:p>
        </w:tc>
        <w:tc>
          <w:tcPr>
            <w:tcW w:type="dxa" w:w="2880"/>
          </w:tcPr>
          <w:p>
            <w:r>
              <w:t>`tests/infra/feature`</w:t>
            </w:r>
          </w:p>
        </w:tc>
      </w:tr>
      <w:tr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labeler、label store、label builder</w:t>
            </w:r>
          </w:p>
        </w:tc>
        <w:tc>
          <w:tcPr>
            <w:tcW w:type="dxa" w:w="2880"/>
          </w:tcPr>
          <w:p>
            <w:r>
              <w:t>`tests/infra/label`</w:t>
            </w:r>
          </w:p>
        </w:tc>
      </w:tr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window builder、task builder、task store</w:t>
            </w:r>
          </w:p>
        </w:tc>
        <w:tc>
          <w:tcPr>
            <w:tcW w:type="dxa" w:w="2880"/>
          </w:tcPr>
          <w:p>
            <w:r>
              <w:t>`tests/infra/task`</w:t>
            </w:r>
          </w:p>
        </w:tc>
      </w:tr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RUL/分类指标注册和计算</w:t>
            </w:r>
          </w:p>
        </w:tc>
        <w:tc>
          <w:tcPr>
            <w:tcW w:type="dxa" w:w="2880"/>
          </w:tcPr>
          <w:p>
            <w:r>
              <w:t>`tests/infra/metric`</w:t>
            </w:r>
          </w:p>
        </w:tc>
      </w:tr>
      <w:tr>
        <w:tc>
          <w:tcPr>
            <w:tcW w:type="dxa" w:w="2880"/>
          </w:tcPr>
          <w:p>
            <w:r>
              <w:t>trainer</w:t>
            </w:r>
          </w:p>
        </w:tc>
        <w:tc>
          <w:tcPr>
            <w:tcW w:type="dxa" w:w="2880"/>
          </w:tcPr>
          <w:p>
            <w:r>
              <w:t>configurable trainer、callbacks</w:t>
            </w:r>
          </w:p>
        </w:tc>
        <w:tc>
          <w:tcPr>
            <w:tcW w:type="dxa" w:w="2880"/>
          </w:tcPr>
          <w:p>
            <w:r>
              <w:t>`tests/engine/trainer`</w:t>
            </w:r>
          </w:p>
        </w:tc>
      </w:tr>
    </w:tbl>
    <w:p>
      <w:pPr>
        <w:pStyle w:val="Heading2"/>
      </w:pPr>
      <w:r>
        <w:t>通过标准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标准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可重复</w:t>
            </w:r>
          </w:p>
        </w:tc>
        <w:tc>
          <w:tcPr>
            <w:tcW w:type="dxa" w:w="4320"/>
          </w:tcPr>
          <w:p>
            <w:r>
              <w:t>测试使用临时目录和 fixture</w:t>
            </w:r>
          </w:p>
        </w:tc>
      </w:tr>
      <w:tr>
        <w:tc>
          <w:tcPr>
            <w:tcW w:type="dxa" w:w="4320"/>
          </w:tcPr>
          <w:p>
            <w:r>
              <w:t>可隔离</w:t>
            </w:r>
          </w:p>
        </w:tc>
        <w:tc>
          <w:tcPr>
            <w:tcW w:type="dxa" w:w="4320"/>
          </w:tcPr>
          <w:p>
            <w:r>
              <w:t>不读取真实大数据和用户私有路径</w:t>
            </w:r>
          </w:p>
        </w:tc>
      </w:tr>
      <w:tr>
        <w:tc>
          <w:tcPr>
            <w:tcW w:type="dxa" w:w="4320"/>
          </w:tcPr>
          <w:p>
            <w:r>
              <w:t>可定位</w:t>
            </w:r>
          </w:p>
        </w:tc>
        <w:tc>
          <w:tcPr>
            <w:tcW w:type="dxa" w:w="4320"/>
          </w:tcPr>
          <w:p>
            <w:r>
              <w:t>失败信息包含具体断言</w:t>
            </w:r>
          </w:p>
        </w:tc>
      </w:tr>
      <w:tr>
        <w:tc>
          <w:tcPr>
            <w:tcW w:type="dxa" w:w="4320"/>
          </w:tcPr>
          <w:p>
            <w:r>
              <w:t>可维护</w:t>
            </w:r>
          </w:p>
        </w:tc>
        <w:tc>
          <w:tcPr>
            <w:tcW w:type="dxa" w:w="4320"/>
          </w:tcPr>
          <w:p>
            <w:r>
              <w:t>新模块需补对应测试</w:t>
            </w:r>
          </w:p>
        </w:tc>
      </w:tr>
    </w:tbl>
    <w:p>
      <w:pPr>
        <w:pStyle w:val="Heading2"/>
      </w:pPr>
      <w:r>
        <w:t>执行命令</w:t>
      </w:r>
    </w:p>
    <w:p>
      <w:r>
        <w:rPr>
          <w:rFonts w:ascii="Courier New" w:hAnsi="Courier New"/>
          <w:sz w:val="18"/>
        </w:rPr>
        <w:t>uv run pytest tests/infra tests/cli tests/recipes</w:t>
        <w:br/>
        <w:t>uv run python -m compileall src tests recipes scripts</w:t>
      </w:r>
    </w:p>
    <w:p>
      <w:pPr>
        <w:pStyle w:val="Heading2"/>
      </w:pPr>
      <w:r>
        <w:t>缺陷记录方式</w:t>
      </w:r>
    </w:p>
    <w:p>
      <w:r>
        <w:t>单元测试缺陷记录在测试报告中，按模块、失败命令、失败原因、修复方式和复测结果记录。对随机性相关测试需要固定 seed 或使用小范围容差。</w:t>
      </w:r>
    </w:p>
    <w:p>
      <w:pPr>
        <w:pStyle w:val="Heading2"/>
      </w:pPr>
      <w:r>
        <w:t>交付证据位置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证据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源码</w:t>
            </w:r>
          </w:p>
        </w:tc>
        <w:tc>
          <w:tcPr>
            <w:tcW w:type="dxa" w:w="2880"/>
          </w:tcPr>
          <w:p>
            <w:r>
              <w:t>`src/USTC/SSE/BearingPrediction`</w:t>
            </w:r>
          </w:p>
        </w:tc>
        <w:tc>
          <w:tcPr>
            <w:tcW w:type="dxa" w:w="2880"/>
          </w:tcPr>
          <w:p>
            <w:r>
              <w:t>项目核心实现</w:t>
            </w:r>
          </w:p>
        </w:tc>
      </w:tr>
      <w:tr>
        <w:tc>
          <w:tcPr>
            <w:tcW w:type="dxa" w:w="2880"/>
          </w:tcPr>
          <w:p>
            <w:r>
              <w:t>配置</w:t>
            </w:r>
          </w:p>
        </w:tc>
        <w:tc>
          <w:tcPr>
            <w:tcW w:type="dxa" w:w="2880"/>
          </w:tcPr>
          <w:p>
            <w:r>
              <w:t>`conf`</w:t>
            </w:r>
          </w:p>
        </w:tc>
        <w:tc>
          <w:tcPr>
            <w:tcW w:type="dxa" w:w="2880"/>
          </w:tcPr>
          <w:p>
            <w:r>
              <w:t>Hydra 配置、任务、模型、训练参数</w:t>
            </w:r>
          </w:p>
        </w:tc>
      </w:tr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`tests`</w:t>
            </w:r>
          </w:p>
        </w:tc>
        <w:tc>
          <w:tcPr>
            <w:tcW w:type="dxa" w:w="2880"/>
          </w:tcPr>
          <w:p>
            <w:r>
              <w:t>单元、集成、CLI、recipes 测试</w:t>
            </w:r>
          </w:p>
        </w:tc>
      </w:tr>
      <w:tr>
        <w:tc>
          <w:tcPr>
            <w:tcW w:type="dxa" w:w="2880"/>
          </w:tcPr>
          <w:p>
            <w:r>
              <w:t>示例</w:t>
            </w:r>
          </w:p>
        </w:tc>
        <w:tc>
          <w:tcPr>
            <w:tcW w:type="dxa" w:w="2880"/>
          </w:tcPr>
          <w:p>
            <w:r>
              <w:t>`examples`</w:t>
            </w:r>
          </w:p>
        </w:tc>
        <w:tc>
          <w:tcPr>
            <w:tcW w:type="dxa" w:w="2880"/>
          </w:tcPr>
          <w:p>
            <w:r>
              <w:t>Notebook 指南与 Demo</w:t>
            </w:r>
          </w:p>
        </w:tc>
      </w:tr>
      <w:tr>
        <w:tc>
          <w:tcPr>
            <w:tcW w:type="dxa" w:w="2880"/>
          </w:tcPr>
          <w:p>
            <w:r>
              <w:t>用户文档</w:t>
            </w:r>
          </w:p>
        </w:tc>
        <w:tc>
          <w:tcPr>
            <w:tcW w:type="dxa" w:w="2880"/>
          </w:tcPr>
          <w:p>
            <w:r>
              <w:t>`user-guide`</w:t>
            </w:r>
          </w:p>
        </w:tc>
        <w:tc>
          <w:tcPr>
            <w:tcW w:type="dxa" w:w="2880"/>
          </w:tcPr>
          <w:p>
            <w:r>
              <w:t>数据集 card、加载与划分说明</w:t>
            </w:r>
          </w:p>
        </w:tc>
      </w:tr>
      <w:tr>
        <w:tc>
          <w:tcPr>
            <w:tcW w:type="dxa" w:w="2880"/>
          </w:tcPr>
          <w:p>
            <w:r>
              <w:t>正式文档</w:t>
            </w:r>
          </w:p>
        </w:tc>
        <w:tc>
          <w:tcPr>
            <w:tcW w:type="dxa" w:w="2880"/>
          </w:tcPr>
          <w:p>
            <w:r>
              <w:t>`docx/md`、`docx/word`、`docx/pdf`</w:t>
            </w:r>
          </w:p>
        </w:tc>
        <w:tc>
          <w:tcPr>
            <w:tcW w:type="dxa" w:w="2880"/>
          </w:tcPr>
          <w:p>
            <w:r>
              <w:t>课程交付文档</w:t>
            </w:r>
          </w:p>
        </w:tc>
      </w:tr>
      <w:tr>
        <w:tc>
          <w:tcPr>
            <w:tcW w:type="dxa" w:w="2880"/>
          </w:tcPr>
          <w:p>
            <w:r>
              <w:t>CLI 演示</w:t>
            </w:r>
          </w:p>
        </w:tc>
        <w:tc>
          <w:tcPr>
            <w:tcW w:type="dxa" w:w="2880"/>
          </w:tcPr>
          <w:p>
            <w:r>
              <w:t>`reports/cli_demo`</w:t>
            </w:r>
          </w:p>
        </w:tc>
        <w:tc>
          <w:tcPr>
            <w:tcW w:type="dxa" w:w="2880"/>
          </w:tcPr>
          <w:p>
            <w:r>
              <w:t>命令、输出、QA、manifest</w:t>
            </w:r>
          </w:p>
        </w:tc>
      </w:tr>
      <w:tr>
        <w:tc>
          <w:tcPr>
            <w:tcW w:type="dxa" w:w="2880"/>
          </w:tcPr>
          <w:p>
            <w:r>
              <w:t>Dashboard 演示</w:t>
            </w:r>
          </w:p>
        </w:tc>
        <w:tc>
          <w:tcPr>
            <w:tcW w:type="dxa" w:w="2880"/>
          </w:tcPr>
          <w:p>
            <w:r>
              <w:t>`reports/demo_dashboard`</w:t>
            </w:r>
          </w:p>
        </w:tc>
        <w:tc>
          <w:tcPr>
            <w:tcW w:type="dxa" w:w="2880"/>
          </w:tcPr>
          <w:p>
            <w:r>
              <w:t>静态网页、截图、视频</w:t>
            </w:r>
          </w:p>
        </w:tc>
      </w:tr>
      <w:tr>
        <w:tc>
          <w:tcPr>
            <w:tcW w:type="dxa" w:w="2880"/>
          </w:tcPr>
          <w:p>
            <w:r>
              <w:t>训练视频</w:t>
            </w:r>
          </w:p>
        </w:tc>
        <w:tc>
          <w:tcPr>
            <w:tcW w:type="dxa" w:w="2880"/>
          </w:tcPr>
          <w:p>
            <w:r>
              <w:t>`reports/demo_videos`</w:t>
            </w:r>
          </w:p>
        </w:tc>
        <w:tc>
          <w:tcPr>
            <w:tcW w:type="dxa" w:w="2880"/>
          </w:tcPr>
          <w:p>
            <w:r>
              <w:t>训练过程加速视频</w:t>
            </w:r>
          </w:p>
        </w:tc>
      </w:tr>
      <w:tr>
        <w:tc>
          <w:tcPr>
            <w:tcW w:type="dxa" w:w="2880"/>
          </w:tcPr>
          <w:p>
            <w:r>
              <w:t>结题材料</w:t>
            </w:r>
          </w:p>
        </w:tc>
        <w:tc>
          <w:tcPr>
            <w:tcW w:type="dxa" w:w="2880"/>
          </w:tcPr>
          <w:p>
            <w:r>
              <w:t>`outputs`、`reports/final_defense/report`</w:t>
            </w:r>
          </w:p>
        </w:tc>
        <w:tc>
          <w:tcPr>
            <w:tcW w:type="dxa" w:w="2880"/>
          </w:tcPr>
          <w:p>
            <w:r>
              <w:t>PPT、PDF、论文式报告</w:t>
            </w:r>
          </w:p>
        </w:tc>
      </w:tr>
    </w:tbl>
    <w:p>
      <w:pPr>
        <w:pStyle w:val="Heading2"/>
      </w:pPr>
      <w:r>
        <w:t>外部平台与配置管理说明</w:t>
      </w:r>
    </w:p>
    <w:p>
      <w:r>
        <w:t>《工程实践管理规范2025》建议使用太乙、禅道和 Gitee。当前仓库可见且可审计的证据为 Git/GitHub、`uv.lock`、Hydra 配置、测试记录和本地演示材料。未在仓库中出现太乙、禅道或 Gitee 的真实截图、链接、导出记录时，本文档只写等效配置管理事实，不写虚假的平台完成结论。</w:t>
      </w:r>
    </w:p>
    <w:p>
      <w:pPr>
        <w:pStyle w:val="Heading2"/>
      </w:pPr>
      <w:r>
        <w:t>质量检查口径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检查项</w:t>
            </w:r>
          </w:p>
        </w:tc>
        <w:tc>
          <w:tcPr>
            <w:tcW w:type="dxa" w:w="4320"/>
          </w:tcPr>
          <w:p>
            <w:r>
              <w:t>通过标准</w:t>
            </w:r>
          </w:p>
        </w:tc>
      </w:tr>
      <w:tr>
        <w:tc>
          <w:tcPr>
            <w:tcW w:type="dxa" w:w="4320"/>
          </w:tcPr>
          <w:p>
            <w:r>
              <w:t>文档数量</w:t>
            </w:r>
          </w:p>
        </w:tc>
        <w:tc>
          <w:tcPr>
            <w:tcW w:type="dxa" w:w="4320"/>
          </w:tcPr>
          <w:p>
            <w:r>
              <w:t>Markdown、Word、PDF 各 20 份</w:t>
            </w:r>
          </w:p>
        </w:tc>
      </w:tr>
      <w:tr>
        <w:tc>
          <w:tcPr>
            <w:tcW w:type="dxa" w:w="4320"/>
          </w:tcPr>
          <w:p>
            <w:r>
              <w:t>文档内容</w:t>
            </w:r>
          </w:p>
        </w:tc>
        <w:tc>
          <w:tcPr>
            <w:tcW w:type="dxa" w:w="4320"/>
          </w:tcPr>
          <w:p>
            <w:r>
              <w:t>无待完善标记、空白表格或无证据结论</w:t>
            </w:r>
          </w:p>
        </w:tc>
      </w:tr>
      <w:tr>
        <w:tc>
          <w:tcPr>
            <w:tcW w:type="dxa" w:w="4320"/>
          </w:tcPr>
          <w:p>
            <w:r>
              <w:t>代码头</w:t>
            </w:r>
          </w:p>
        </w:tc>
        <w:tc>
          <w:tcPr>
            <w:tcW w:type="dxa" w:w="4320"/>
          </w:tcPr>
          <w:p>
            <w:r>
              <w:t>`src`、`tests`、`recipes` Python 文件均有 Author、Program date、Copyright</w:t>
            </w:r>
          </w:p>
        </w:tc>
      </w:tr>
      <w:tr>
        <w:tc>
          <w:tcPr>
            <w:tcW w:type="dxa" w:w="4320"/>
          </w:tcPr>
          <w:p>
            <w:r>
              <w:t>语法</w:t>
            </w:r>
          </w:p>
        </w:tc>
        <w:tc>
          <w:tcPr>
            <w:tcW w:type="dxa" w:w="4320"/>
          </w:tcPr>
          <w:p>
            <w:r>
              <w:t>`python -m compileall src tests recipes scripts` 通过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`uv run pytest` 或目标 smoke 测试通过</w:t>
            </w:r>
          </w:p>
        </w:tc>
      </w:tr>
      <w:tr>
        <w:tc>
          <w:tcPr>
            <w:tcW w:type="dxa" w:w="4320"/>
          </w:tcPr>
          <w:p>
            <w:r>
              <w:t>演示</w:t>
            </w:r>
          </w:p>
        </w:tc>
        <w:tc>
          <w:tcPr>
            <w:tcW w:type="dxa" w:w="4320"/>
          </w:tcPr>
          <w:p>
            <w:r>
              <w:t>CLI、Dashboard、训练视频 manifest 为 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