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轴承寿命预测与故障诊断系统：结题报告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**项目验收阶段** 工作产品：**软件工程实验结题报告**。总结项目完成情况、实验结果、演示材料、限制和后续改进。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项目完成情况</w:t>
      </w:r>
    </w:p>
    <w:p>
      <w:r>
        <w:t>项目已经形成可运行、可测试、可展示、可归档的课程交付闭环。核心代码覆盖数据处理、模型训练、指标评估、特征分析和演示生成；正式文档覆盖开题、中期和结题阶段产物。</w:t>
      </w:r>
    </w:p>
    <w:p>
      <w:pPr>
        <w:pStyle w:val="Heading2"/>
      </w:pPr>
      <w:r>
        <w:t>主线实验摘要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主线</w:t>
            </w:r>
          </w:p>
        </w:tc>
        <w:tc>
          <w:tcPr>
            <w:tcW w:type="dxa" w:w="2160"/>
          </w:tcPr>
          <w:p>
            <w:r>
              <w:t>数据集</w:t>
            </w:r>
          </w:p>
        </w:tc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证据</w:t>
            </w:r>
          </w:p>
        </w:tc>
      </w:tr>
      <w:tr>
        <w:tc>
          <w:tcPr>
            <w:tcW w:type="dxa" w:w="2160"/>
          </w:tcPr>
          <w:p>
            <w:r>
              <w:t>RUL 预测</w:t>
            </w:r>
          </w:p>
        </w:tc>
        <w:tc>
          <w:tcPr>
            <w:tcW w:type="dxa" w:w="2160"/>
          </w:tcPr>
          <w:p>
            <w:r>
              <w:t>PHM2012、XJTU-SY</w:t>
            </w:r>
          </w:p>
        </w:tc>
        <w:tc>
          <w:tcPr>
            <w:tcW w:type="dxa" w:w="2160"/>
          </w:tcPr>
          <w:p>
            <w:r>
              <w:t>MLP、GRU、RandomForest、XGBoost</w:t>
            </w:r>
          </w:p>
        </w:tc>
        <w:tc>
          <w:tcPr>
            <w:tcW w:type="dxa" w:w="2160"/>
          </w:tcPr>
          <w:p>
            <w:r>
              <w:t>`reports/baseline_results`、`reports/sequence_baseline_results`</w:t>
            </w:r>
          </w:p>
        </w:tc>
      </w:tr>
      <w:tr>
        <w:tc>
          <w:tcPr>
            <w:tcW w:type="dxa" w:w="2160"/>
          </w:tcPr>
          <w:p>
            <w:r>
              <w:t>健康状态识别</w:t>
            </w:r>
          </w:p>
        </w:tc>
        <w:tc>
          <w:tcPr>
            <w:tcW w:type="dxa" w:w="2160"/>
          </w:tcPr>
          <w:p>
            <w:r>
              <w:t>PHM2012、XJTU-SY</w:t>
            </w:r>
          </w:p>
        </w:tc>
        <w:tc>
          <w:tcPr>
            <w:tcW w:type="dxa" w:w="2160"/>
          </w:tcPr>
          <w:p>
            <w:r>
              <w:t>MLP、GRU、XGBoost</w:t>
            </w:r>
          </w:p>
        </w:tc>
        <w:tc>
          <w:tcPr>
            <w:tcW w:type="dxa" w:w="2160"/>
          </w:tcPr>
          <w:p>
            <w:r>
              <w:t>`reports/non_mlp_baseline_results`</w:t>
            </w:r>
          </w:p>
        </w:tc>
      </w:tr>
      <w:tr>
        <w:tc>
          <w:tcPr>
            <w:tcW w:type="dxa" w:w="2160"/>
          </w:tcPr>
          <w:p>
            <w:r>
              <w:t>早期故障识别</w:t>
            </w:r>
          </w:p>
        </w:tc>
        <w:tc>
          <w:tcPr>
            <w:tcW w:type="dxa" w:w="2160"/>
          </w:tcPr>
          <w:p>
            <w:r>
              <w:t>PHM2012、XJTU-SY</w:t>
            </w:r>
          </w:p>
        </w:tc>
        <w:tc>
          <w:tcPr>
            <w:tcW w:type="dxa" w:w="2160"/>
          </w:tcPr>
          <w:p>
            <w:r>
              <w:t>MLP、GRU、RandomForest</w:t>
            </w:r>
          </w:p>
        </w:tc>
        <w:tc>
          <w:tcPr>
            <w:tcW w:type="dxa" w:w="2160"/>
          </w:tcPr>
          <w:p>
            <w:r>
              <w:t>`reports/demo_videos`、`reports/final_defense`</w:t>
            </w:r>
          </w:p>
        </w:tc>
      </w:tr>
      <w:tr>
        <w:tc>
          <w:tcPr>
            <w:tcW w:type="dxa" w:w="2160"/>
          </w:tcPr>
          <w:p>
            <w:r>
              <w:t>特征分析</w:t>
            </w:r>
          </w:p>
        </w:tc>
        <w:tc>
          <w:tcPr>
            <w:tcW w:type="dxa" w:w="2160"/>
          </w:tcPr>
          <w:p>
            <w:r>
              <w:t>两个数据集</w:t>
            </w:r>
          </w:p>
        </w:tc>
        <w:tc>
          <w:tcPr>
            <w:tcW w:type="dxa" w:w="2160"/>
          </w:tcPr>
          <w:p>
            <w:r>
              <w:t>manual/tsfresh</w:t>
            </w:r>
          </w:p>
        </w:tc>
        <w:tc>
          <w:tcPr>
            <w:tcW w:type="dxa" w:w="2160"/>
          </w:tcPr>
          <w:p>
            <w:r>
              <w:t>`reports/feature_analysis`</w:t>
            </w:r>
          </w:p>
        </w:tc>
      </w:tr>
    </w:tbl>
    <w:p>
      <w:pPr>
        <w:pStyle w:val="Heading2"/>
      </w:pPr>
      <w:r>
        <w:t>工程完成情况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完成内容</w:t>
            </w:r>
          </w:p>
        </w:tc>
      </w:tr>
      <w:tr>
        <w:tc>
          <w:tcPr>
            <w:tcW w:type="dxa" w:w="4320"/>
          </w:tcPr>
          <w:p>
            <w:r>
              <w:t>代码</w:t>
            </w:r>
          </w:p>
        </w:tc>
        <w:tc>
          <w:tcPr>
            <w:tcW w:type="dxa" w:w="4320"/>
          </w:tcPr>
          <w:p>
            <w:r>
              <w:t>`src`、`tests`、`recipes` 均有统一 header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CLI、infra、feature、label、task、recipes 测试</w:t>
            </w:r>
          </w:p>
        </w:tc>
      </w:tr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20 份 Markdown、20 份 Word、20 份 PDF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 demo、Dashboard、训练过程视频</w:t>
            </w:r>
          </w:p>
        </w:tc>
      </w:tr>
      <w:tr>
        <w:tc>
          <w:tcPr>
            <w:tcW w:type="dxa" w:w="4320"/>
          </w:tcPr>
          <w:p>
            <w:r>
              <w:t>答辩</w:t>
            </w:r>
          </w:p>
        </w:tc>
        <w:tc>
          <w:tcPr>
            <w:tcW w:type="dxa" w:w="4320"/>
          </w:tcPr>
          <w:p>
            <w:r>
              <w:t>PPT、讲稿、论文式结题报告</w:t>
            </w:r>
          </w:p>
        </w:tc>
      </w:tr>
    </w:tbl>
    <w:p>
      <w:pPr>
        <w:pStyle w:val="Heading2"/>
      </w:pPr>
      <w:r>
        <w:t>限制与改进</w:t>
      </w:r>
    </w:p>
    <w:p>
      <w:r>
        <w:t>当前系统仍是离线实验框架，不是工业在线监控平台；真实数据训练耗时较长，现场演示采用小数据 CLI 和视频；label-source 特征需要谨慎解释。后续可进一步增加在线推理服务、模型压缩、更多数据集和更严格的跨域验证。</w:t>
      </w:r>
    </w:p>
    <w:p>
      <w:pPr>
        <w:pStyle w:val="Heading2"/>
      </w:pPr>
      <w:r>
        <w:t>结论</w:t>
      </w:r>
    </w:p>
    <w:p>
      <w:r>
        <w:t>项目满足工程实践对生命周期、文档、源码、测试、演示和答辩材料的交付要求。系统能够支撑轴承 PHM 任务的实验构建、结果记录和可视化解释。</w:t>
      </w:r>
    </w:p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