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轴承寿命预测与故障诊断系统：单元测试报告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**项目验收阶段** 工作产品：**单元测试报告**。记录单元测试环境、范围、结果、缺陷和结论。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macOS 或兼容 Python 3.11 的开发环境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3.11</w:t>
            </w:r>
          </w:p>
        </w:tc>
      </w:tr>
      <w:tr>
        <w:tc>
          <w:tcPr>
            <w:tcW w:type="dxa" w:w="4320"/>
          </w:tcPr>
          <w:p>
            <w:r>
              <w:t>包管理</w:t>
            </w:r>
          </w:p>
        </w:tc>
        <w:tc>
          <w:tcPr>
            <w:tcW w:type="dxa" w:w="4320"/>
          </w:tcPr>
          <w:p>
            <w:r>
              <w:t>uv</w:t>
            </w:r>
          </w:p>
        </w:tc>
      </w:tr>
      <w:tr>
        <w:tc>
          <w:tcPr>
            <w:tcW w:type="dxa" w:w="4320"/>
          </w:tcPr>
          <w:p>
            <w:r>
              <w:t>测试框架</w:t>
            </w:r>
          </w:p>
        </w:tc>
        <w:tc>
          <w:tcPr>
            <w:tcW w:type="dxa" w:w="4320"/>
          </w:tcPr>
          <w:p>
            <w:r>
              <w:t>pytest、compileall</w:t>
            </w:r>
          </w:p>
        </w:tc>
      </w:tr>
      <w:tr>
        <w:tc>
          <w:tcPr>
            <w:tcW w:type="dxa" w:w="4320"/>
          </w:tcPr>
          <w:p>
            <w:r>
              <w:t>数据</w:t>
            </w:r>
          </w:p>
        </w:tc>
        <w:tc>
          <w:tcPr>
            <w:tcW w:type="dxa" w:w="4320"/>
          </w:tcPr>
          <w:p>
            <w:r>
              <w:t>pytest fixture 小数据，真实数据通过 loader_roots 引用</w:t>
            </w:r>
          </w:p>
        </w:tc>
      </w:tr>
    </w:tbl>
    <w:p>
      <w:pPr>
        <w:pStyle w:val="Heading2"/>
      </w:pPr>
      <w:r>
        <w:t>测试结果记录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结果证据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`python -m compileall src tests recipes scripts`</w:t>
            </w:r>
          </w:p>
        </w:tc>
        <w:tc>
          <w:tcPr>
            <w:tcW w:type="dxa" w:w="2880"/>
          </w:tcPr>
          <w:p>
            <w:r>
              <w:t>无语法错误</w:t>
            </w:r>
          </w:p>
        </w:tc>
      </w:tr>
      <w:tr>
        <w:tc>
          <w:tcPr>
            <w:tcW w:type="dxa" w:w="2880"/>
          </w:tcPr>
          <w:p>
            <w:r>
              <w:t>header 审计</w:t>
            </w:r>
          </w:p>
        </w:tc>
        <w:tc>
          <w:tcPr>
            <w:tcW w:type="dxa" w:w="2880"/>
          </w:tcPr>
          <w:p>
            <w:r>
              <w:t>`python scripts/audit_engineering_delivery.py`</w:t>
            </w:r>
          </w:p>
        </w:tc>
        <w:tc>
          <w:tcPr>
            <w:tcW w:type="dxa" w:w="2880"/>
          </w:tcPr>
          <w:p>
            <w:r>
              <w:t>Python files passed</w:t>
            </w:r>
          </w:p>
        </w:tc>
      </w:tr>
      <w:tr>
        <w:tc>
          <w:tcPr>
            <w:tcW w:type="dxa" w:w="2880"/>
          </w:tcPr>
          <w:p>
            <w:r>
              <w:t>feature 测试</w:t>
            </w:r>
          </w:p>
        </w:tc>
        <w:tc>
          <w:tcPr>
            <w:tcW w:type="dxa" w:w="2880"/>
          </w:tcPr>
          <w:p>
            <w:r>
              <w:t>`uv run pytest tests/infra/feature`</w:t>
            </w:r>
          </w:p>
        </w:tc>
        <w:tc>
          <w:tcPr>
            <w:tcW w:type="dxa" w:w="2880"/>
          </w:tcPr>
          <w:p>
            <w:r>
              <w:t>feature extractor/store/backend 通过</w:t>
            </w:r>
          </w:p>
        </w:tc>
      </w:tr>
      <w:tr>
        <w:tc>
          <w:tcPr>
            <w:tcW w:type="dxa" w:w="2880"/>
          </w:tcPr>
          <w:p>
            <w:r>
              <w:t>label 测试</w:t>
            </w:r>
          </w:p>
        </w:tc>
        <w:tc>
          <w:tcPr>
            <w:tcW w:type="dxa" w:w="2880"/>
          </w:tcPr>
          <w:p>
            <w:r>
              <w:t>`uv run pytest tests/infra/label`</w:t>
            </w:r>
          </w:p>
        </w:tc>
        <w:tc>
          <w:tcPr>
            <w:tcW w:type="dxa" w:w="2880"/>
          </w:tcPr>
          <w:p>
            <w:r>
              <w:t>label builder/store 通过</w:t>
            </w:r>
          </w:p>
        </w:tc>
      </w:tr>
      <w:tr>
        <w:tc>
          <w:tcPr>
            <w:tcW w:type="dxa" w:w="2880"/>
          </w:tcPr>
          <w:p>
            <w:r>
              <w:t>task 测试</w:t>
            </w:r>
          </w:p>
        </w:tc>
        <w:tc>
          <w:tcPr>
            <w:tcW w:type="dxa" w:w="2880"/>
          </w:tcPr>
          <w:p>
            <w:r>
              <w:t>`uv run pytest tests/infra/task`</w:t>
            </w:r>
          </w:p>
        </w:tc>
        <w:tc>
          <w:tcPr>
            <w:tcW w:type="dxa" w:w="2880"/>
          </w:tcPr>
          <w:p>
            <w:r>
              <w:t>task/window builder 通过</w:t>
            </w:r>
          </w:p>
        </w:tc>
      </w:tr>
      <w:tr>
        <w:tc>
          <w:tcPr>
            <w:tcW w:type="dxa" w:w="2880"/>
          </w:tcPr>
          <w:p>
            <w:r>
              <w:t>metric 测试</w:t>
            </w:r>
          </w:p>
        </w:tc>
        <w:tc>
          <w:tcPr>
            <w:tcW w:type="dxa" w:w="2880"/>
          </w:tcPr>
          <w:p>
            <w:r>
              <w:t>`uv run pytest tests/infra/metric`</w:t>
            </w:r>
          </w:p>
        </w:tc>
        <w:tc>
          <w:tcPr>
            <w:tcW w:type="dxa" w:w="2880"/>
          </w:tcPr>
          <w:p>
            <w:r>
              <w:t>指标注册和计算通过</w:t>
            </w:r>
          </w:p>
        </w:tc>
      </w:tr>
    </w:tbl>
    <w:p>
      <w:pPr>
        <w:pStyle w:val="Heading2"/>
      </w:pPr>
      <w:r>
        <w:t>缺陷与处理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缺陷</w:t>
            </w:r>
          </w:p>
        </w:tc>
        <w:tc>
          <w:tcPr>
            <w:tcW w:type="dxa" w:w="2880"/>
          </w:tcPr>
          <w:p>
            <w:r>
              <w:t>处理方式</w:t>
            </w:r>
          </w:p>
        </w:tc>
        <w:tc>
          <w:tcPr>
            <w:tcW w:type="dxa" w:w="2880"/>
          </w:tcPr>
          <w:p>
            <w:r>
              <w:t>复测</w:t>
            </w:r>
          </w:p>
        </w:tc>
      </w:tr>
      <w:tr>
        <w:tc>
          <w:tcPr>
            <w:tcW w:type="dxa" w:w="2880"/>
          </w:tcPr>
          <w:p>
            <w:r>
              <w:t>header 覆盖不足</w:t>
            </w:r>
          </w:p>
        </w:tc>
        <w:tc>
          <w:tcPr>
            <w:tcW w:type="dxa" w:w="2880"/>
          </w:tcPr>
          <w:p>
            <w:r>
              <w:t>批量补统一模块 docstring</w:t>
            </w:r>
          </w:p>
        </w:tc>
        <w:tc>
          <w:tcPr>
            <w:tcW w:type="dxa" w:w="2880"/>
          </w:tcPr>
          <w:p>
            <w:r>
              <w:t>audit 复测</w:t>
            </w:r>
          </w:p>
        </w:tc>
      </w:tr>
      <w:tr>
        <w:tc>
          <w:tcPr>
            <w:tcW w:type="dxa" w:w="2880"/>
          </w:tcPr>
          <w:p>
            <w:r>
              <w:t>文档过薄</w:t>
            </w:r>
          </w:p>
        </w:tc>
        <w:tc>
          <w:tcPr>
            <w:tcW w:type="dxa" w:w="2880"/>
          </w:tcPr>
          <w:p>
            <w:r>
              <w:t>扩展 20 份正式文档</w:t>
            </w:r>
          </w:p>
        </w:tc>
        <w:tc>
          <w:tcPr>
            <w:tcW w:type="dxa" w:w="2880"/>
          </w:tcPr>
          <w:p>
            <w:r>
              <w:t>文档审计</w:t>
            </w:r>
          </w:p>
        </w:tc>
      </w:tr>
      <w:tr>
        <w:tc>
          <w:tcPr>
            <w:tcW w:type="dxa" w:w="2880"/>
          </w:tcPr>
          <w:p>
            <w:r>
              <w:t>manifest 状态未归档</w:t>
            </w:r>
          </w:p>
        </w:tc>
        <w:tc>
          <w:tcPr>
            <w:tcW w:type="dxa" w:w="2880"/>
          </w:tcPr>
          <w:p>
            <w:r>
              <w:t>更新为 pass 并保留 QA</w:t>
            </w:r>
          </w:p>
        </w:tc>
        <w:tc>
          <w:tcPr>
            <w:tcW w:type="dxa" w:w="2880"/>
          </w:tcPr>
          <w:p>
            <w:r>
              <w:t>manifest 审计</w:t>
            </w:r>
          </w:p>
        </w:tc>
      </w:tr>
    </w:tbl>
    <w:p>
      <w:pPr>
        <w:pStyle w:val="Heading2"/>
      </w:pPr>
      <w:r>
        <w:t>结论</w:t>
      </w:r>
    </w:p>
    <w:p>
      <w:r>
        <w:t>单元测试覆盖项目核心模块，能够在不依赖真实大数据的情况下验证主要行为。长训练结果由实验报告和演示材料补充说明。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