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轴承寿命预测与故障诊断系统：用户使用手册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**项目验收阶段** 工作产品：**用户使用手册**。指导用户安装、加载数据、运行 CLI/Notebook/Dashboard 和理解输出。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CLI 使用流程</w:t>
      </w:r>
    </w:p>
    <w:p>
      <w:r>
        <w:t>推荐在项目根目录使用 `uv run` 调用 CLI，避免依赖 shell 是否已安装 console script：</w:t>
      </w:r>
    </w:p>
    <w:p>
      <w:r>
        <w:rPr>
          <w:rFonts w:ascii="Courier New" w:hAnsi="Courier New"/>
          <w:sz w:val="18"/>
        </w:rPr>
        <w:t>uv run python -m USTC.SSE.BearingPrediction.cli.main --config-name smoke mode=validate</w:t>
        <w:br/>
        <w:t>uv run python -m USTC.SSE.BearingPrediction.cli.main --config-name smoke mode=build_index dataset=xjtu_sy split=xjtu_leave_one_bearing_out</w:t>
      </w:r>
    </w:p>
    <w:p>
      <w:r>
        <w:t>安装 console script 后也可以使用：</w:t>
      </w:r>
    </w:p>
    <w:p>
      <w:r>
        <w:rPr>
          <w:rFonts w:ascii="Courier New" w:hAnsi="Courier New"/>
          <w:sz w:val="18"/>
        </w:rPr>
        <w:t>uv run bp --config-name smoke mode=validate</w:t>
      </w:r>
    </w:p>
    <w:p>
      <w:pPr>
        <w:pStyle w:val="Heading2"/>
      </w:pPr>
      <w:r>
        <w:t>Notebook 使用流程</w:t>
      </w:r>
    </w:p>
    <w:p>
      <w:pPr>
        <w:pStyle w:val="ListNumber"/>
      </w:pPr>
      <w:r>
        <w:t>执行 `uv sync`。</w:t>
      </w:r>
    </w:p>
    <w:p>
      <w:pPr>
        <w:pStyle w:val="ListNumber"/>
      </w:pPr>
      <w:r>
        <w:t>确认 `data/loader_roots/phm2012` 和 `data/loader_roots/xjtu` 可访问。</w:t>
      </w:r>
    </w:p>
    <w:p>
      <w:pPr>
        <w:pStyle w:val="ListNumber"/>
      </w:pPr>
      <w:r>
        <w:t>打开 `examples/1-guide/Guide-1_极简实验流程.ipynb` 熟悉最小流程。</w:t>
      </w:r>
    </w:p>
    <w:p>
      <w:pPr>
        <w:pStyle w:val="ListNumber"/>
      </w:pPr>
      <w:r>
        <w:t>打开 `examples/2-demo/RUL预测-轴承.ipynb` 查看 RUL 预测。</w:t>
      </w:r>
    </w:p>
    <w:p>
      <w:pPr>
        <w:pStyle w:val="ListNumber"/>
      </w:pPr>
      <w:r>
        <w:t>打开 `examples/2-demo/故障诊断-轴承.ipynb` 查看故障诊断。</w:t>
      </w:r>
    </w:p>
    <w:p>
      <w:pPr>
        <w:pStyle w:val="Heading2"/>
      </w:pPr>
      <w:r>
        <w:t>Dashboard 和演示视频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`reports/demo_dashboard/index.html`</w:t>
            </w:r>
          </w:p>
        </w:tc>
        <w:tc>
          <w:tcPr>
            <w:tcW w:type="dxa" w:w="2880"/>
          </w:tcPr>
          <w:p>
            <w:r>
              <w:t>查看实验摘要、曲线、对照和决策</w:t>
            </w:r>
          </w:p>
        </w:tc>
      </w:tr>
      <w:tr>
        <w:tc>
          <w:tcPr>
            <w:tcW w:type="dxa" w:w="2880"/>
          </w:tcPr>
          <w:p>
            <w:r>
              <w:t>Dashboard 视频</w:t>
            </w:r>
          </w:p>
        </w:tc>
        <w:tc>
          <w:tcPr>
            <w:tcW w:type="dxa" w:w="2880"/>
          </w:tcPr>
          <w:p>
            <w:r>
              <w:t>`reports/demo_dashboard/video/demo_training_dashboard.mp4`</w:t>
            </w:r>
          </w:p>
        </w:tc>
        <w:tc>
          <w:tcPr>
            <w:tcW w:type="dxa" w:w="2880"/>
          </w:tcPr>
          <w:p>
            <w:r>
              <w:t>30 秒静态看板 walkthrough</w:t>
            </w:r>
          </w:p>
        </w:tc>
      </w:tr>
      <w:tr>
        <w:tc>
          <w:tcPr>
            <w:tcW w:type="dxa" w:w="2880"/>
          </w:tcPr>
          <w:p>
            <w:r>
              <w:t>RUL 训练视频</w:t>
            </w:r>
          </w:p>
        </w:tc>
        <w:tc>
          <w:tcPr>
            <w:tcW w:type="dxa" w:w="2880"/>
          </w:tcPr>
          <w:p>
            <w:r>
              <w:t>`reports/demo_videos/video/demo_xjtu_rul_gru_50ep_accelerated.mp4`</w:t>
            </w:r>
          </w:p>
        </w:tc>
        <w:tc>
          <w:tcPr>
            <w:tcW w:type="dxa" w:w="2880"/>
          </w:tcPr>
          <w:p>
            <w:r>
              <w:t>展示 50ep demo 训练过程</w:t>
            </w:r>
          </w:p>
        </w:tc>
      </w:tr>
      <w:tr>
        <w:tc>
          <w:tcPr>
            <w:tcW w:type="dxa" w:w="2880"/>
          </w:tcPr>
          <w:p>
            <w:r>
              <w:t>EarlyFault 视频</w:t>
            </w:r>
          </w:p>
        </w:tc>
        <w:tc>
          <w:tcPr>
            <w:tcW w:type="dxa" w:w="2880"/>
          </w:tcPr>
          <w:p>
            <w:r>
              <w:t>`reports/demo_videos/video/demo_xjtu_early_gru_50ep_accelerated.mp4`</w:t>
            </w:r>
          </w:p>
        </w:tc>
        <w:tc>
          <w:tcPr>
            <w:tcW w:type="dxa" w:w="2880"/>
          </w:tcPr>
          <w:p>
            <w:r>
              <w:t>展示 50ep demo 训练过程</w:t>
            </w:r>
          </w:p>
        </w:tc>
      </w:tr>
      <w:tr>
        <w:tc>
          <w:tcPr>
            <w:tcW w:type="dxa" w:w="2880"/>
          </w:tcPr>
          <w:p>
            <w:r>
              <w:t>CLI demo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查看真实命令和输出</w:t>
            </w:r>
          </w:p>
        </w:tc>
      </w:tr>
    </w:tbl>
    <w:p>
      <w:pPr>
        <w:pStyle w:val="Heading2"/>
      </w:pPr>
      <w:r>
        <w:t>输出解读</w:t>
      </w:r>
    </w:p>
    <w:p>
      <w:r>
        <w:t>RUL 指标中 MAE、MSE、RMSE 越低越好，R2 越接近 1 越好。分类任务中 accuracy 反映整体正确率，macro-F1 更关注类别均衡，混淆矩阵用于观察误判方向。</w:t>
      </w:r>
    </w:p>
    <w:p>
      <w:pPr>
        <w:pStyle w:val="Heading2"/>
      </w:pPr>
      <w:r>
        <w:t>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找不到数据</w:t>
            </w:r>
          </w:p>
        </w:tc>
        <w:tc>
          <w:tcPr>
            <w:tcW w:type="dxa" w:w="2880"/>
          </w:tcPr>
          <w:p>
            <w:r>
              <w:t>软链接未配置或目标不可读</w:t>
            </w:r>
          </w:p>
        </w:tc>
        <w:tc>
          <w:tcPr>
            <w:tcW w:type="dxa" w:w="2880"/>
          </w:tcPr>
          <w:p>
            <w:r>
              <w:t>检查 `data/loader_roots`</w:t>
            </w:r>
          </w:p>
        </w:tc>
      </w:tr>
      <w:tr>
        <w:tc>
          <w:tcPr>
            <w:tcW w:type="dxa" w:w="2880"/>
          </w:tcPr>
          <w:p>
            <w:r>
              <w:t>找不到包</w:t>
            </w:r>
          </w:p>
        </w:tc>
        <w:tc>
          <w:tcPr>
            <w:tcW w:type="dxa" w:w="2880"/>
          </w:tcPr>
          <w:p>
            <w:r>
              <w:t>未执行 `uv sync`</w:t>
            </w:r>
          </w:p>
        </w:tc>
        <w:tc>
          <w:tcPr>
            <w:tcW w:type="dxa" w:w="2880"/>
          </w:tcPr>
          <w:p>
            <w:r>
              <w:t>重新安装依赖</w:t>
            </w:r>
          </w:p>
        </w:tc>
      </w:tr>
      <w:tr>
        <w:tc>
          <w:tcPr>
            <w:tcW w:type="dxa" w:w="2880"/>
          </w:tcPr>
          <w:p>
            <w:r>
              <w:t>`bp` 不可用</w:t>
            </w:r>
          </w:p>
        </w:tc>
        <w:tc>
          <w:tcPr>
            <w:tcW w:type="dxa" w:w="2880"/>
          </w:tcPr>
          <w:p>
            <w:r>
              <w:t>console script 未进入 PATH</w:t>
            </w:r>
          </w:p>
        </w:tc>
        <w:tc>
          <w:tcPr>
            <w:tcW w:type="dxa" w:w="2880"/>
          </w:tcPr>
          <w:p>
            <w:r>
              <w:t>使用 `uv run python -m ...`</w:t>
            </w:r>
          </w:p>
        </w:tc>
      </w:tr>
      <w:tr>
        <w:tc>
          <w:tcPr>
            <w:tcW w:type="dxa" w:w="2880"/>
          </w:tcPr>
          <w:p>
            <w:r>
              <w:t>训练很慢</w:t>
            </w:r>
          </w:p>
        </w:tc>
        <w:tc>
          <w:tcPr>
            <w:tcW w:type="dxa" w:w="2880"/>
          </w:tcPr>
          <w:p>
            <w:r>
              <w:t>数据量和 epoch 较大</w:t>
            </w:r>
          </w:p>
        </w:tc>
        <w:tc>
          <w:tcPr>
            <w:tcW w:type="dxa" w:w="2880"/>
          </w:tcPr>
          <w:p>
            <w:r>
              <w:t>使用 smoke 配置或视频演示</w:t>
            </w:r>
          </w:p>
        </w:tc>
      </w:tr>
      <w:tr>
        <w:tc>
          <w:tcPr>
            <w:tcW w:type="dxa" w:w="2880"/>
          </w:tcPr>
          <w:p>
            <w:r>
              <w:t>指标与报告不一致</w:t>
            </w:r>
          </w:p>
        </w:tc>
        <w:tc>
          <w:tcPr>
            <w:tcW w:type="dxa" w:w="2880"/>
          </w:tcPr>
          <w:p>
            <w:r>
              <w:t>demo 50ep 与主线 200ep 混用</w:t>
            </w:r>
          </w:p>
        </w:tc>
        <w:tc>
          <w:tcPr>
            <w:tcW w:type="dxa" w:w="2880"/>
          </w:tcPr>
          <w:p>
            <w:r>
              <w:t>以结题报告主线结果为准</w:t>
            </w:r>
          </w:p>
        </w:tc>
      </w:tr>
    </w:tbl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