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工业轴承设备剩余寿命预测系统的实现集成测试报告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工业轴承设备剩余寿命预测系统的实现：集成测试报告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集成测试报告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端到端链路、输出物检查和集成测试结论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3" w:name="测试目标"/>
    <w:p>
      <w:pPr>
        <w:pStyle w:val="Heading2"/>
      </w:pPr>
      <w:r>
        <w:rPr>
          <w:rFonts w:ascii="宋体" w:hAnsi="宋体" w:eastAsia="宋体"/>
          <w:color w:val="000000"/>
        </w:rPr>
        <w:t xml:space="preserve">1. 测试目标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集成测试验证多个模块组合后的业务链路是否可运行，重点关注从数据加载到训练、测试、指标输出和实验记录的端到端流程。</w:t>
      </w:r>
    </w:p>
    <w:bookmarkStart w:id="22" w:name="测试环境与数据来源"/>
    <w:p>
      <w:pPr>
        <w:pStyle w:val="Heading3"/>
      </w:pPr>
      <w:r>
        <w:rPr>
          <w:rFonts w:ascii="宋体" w:hAnsi="宋体" w:eastAsia="宋体"/>
          <w:color w:val="000000"/>
        </w:rPr>
        <w:t xml:space="preserve">1.1 测试环境与数据来源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运行分支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main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真实数据目录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data/external/xjtu/extracted/XJTU-SY_Bearing_Datasets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data/external/phm2012/final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真实训练输出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tmp/formal_paper_reproductions_50ep_relative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tmp/paper_repro_xlstm_time_index_50ep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tmp/formal_paper_reproductions_50ep_selected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归档策略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原始数据和训练输出不提交，文档记录命令、路径和指标摘要</w:t>
            </w:r>
          </w:p>
        </w:tc>
      </w:tr>
    </w:tbl>
    <w:bookmarkEnd w:id="22"/>
    <w:bookmarkEnd w:id="23"/>
    <w:bookmarkStart w:id="24" w:name="集成链路"/>
    <w:p>
      <w:pPr>
        <w:pStyle w:val="Heading2"/>
      </w:pPr>
      <w:r>
        <w:rPr>
          <w:rFonts w:ascii="宋体" w:hAnsi="宋体" w:eastAsia="宋体"/>
          <w:color w:val="000000"/>
        </w:rPr>
        <w:t xml:space="preserve">2. 集成链路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数据目录 -&gt; Loader -&gt; BearingEntity -&gt; Labeler -&gt; BearingWindowDataset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     -&gt; Model -&gt; BaseTrainer -&gt; BaseTester -&gt; Evaluator -&gt; CSV/JSON/History</w:t>
      </w:r>
    </w:p>
    <w:bookmarkEnd w:id="24"/>
    <w:bookmarkStart w:id="25" w:name="测试场景"/>
    <w:p>
      <w:pPr>
        <w:pStyle w:val="Heading2"/>
      </w:pPr>
      <w:r>
        <w:rPr>
          <w:rFonts w:ascii="宋体" w:hAnsi="宋体" w:eastAsia="宋体"/>
          <w:color w:val="000000"/>
        </w:rPr>
        <w:t xml:space="preserve">3. 测试场景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场景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覆盖模块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验收标准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CNN RUL 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XJTULoader、BearingRulLabeler、CNN、Trainer、Tester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生成 metrics 和 predictions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MLP 特征训练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PHM2012Loader、特征标签、MLP、Evaluator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指标不为空，预测文件存在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 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FeatureSequenceRulLabeler、CNNLSTMAttention、RUL 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两个数据集、两类模型均输出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 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XLSTMTransformer、baseline、论文划分 helper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两个数据集、三类模型均输出对比表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examples、workflow、训练器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所有 notebook 代码单元能执行</w:t>
            </w:r>
          </w:p>
        </w:tc>
      </w:tr>
    </w:tbl>
    <w:bookmarkEnd w:id="25"/>
    <w:bookmarkStart w:id="26" w:name="输出检查"/>
    <w:p>
      <w:pPr>
        <w:pStyle w:val="Heading2"/>
      </w:pPr>
      <w:r>
        <w:rPr>
          <w:rFonts w:ascii="宋体" w:hAnsi="宋体" w:eastAsia="宋体"/>
          <w:color w:val="000000"/>
        </w:rPr>
        <w:t xml:space="preserve">4. 输出检查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集成测试重点检查以下输出：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：证明训练 epoch 实际执行；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：保存单次模型评估指标；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：保存 target 与 prediction；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attention_weights.csv</w:t>
      </w:r>
      <w:r>
        <w:rPr>
          <w:rFonts w:ascii="宋体" w:hAnsi="宋体" w:eastAsia="宋体"/>
          <w:color w:val="000000"/>
        </w:rPr>
        <w:t xml:space="preserve">：保存 attention 类模型的注意力权重；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：保存论文复现对比表。</w:t>
      </w:r>
    </w:p>
    <w:bookmarkEnd w:id="26"/>
    <w:bookmarkStart w:id="30" w:name="执行命令"/>
    <w:p>
      <w:pPr>
        <w:pStyle w:val="Heading2"/>
      </w:pPr>
      <w:r>
        <w:rPr>
          <w:rFonts w:ascii="宋体" w:hAnsi="宋体" w:eastAsia="宋体"/>
          <w:color w:val="000000"/>
        </w:rPr>
        <w:t xml:space="preserve">5. 执行命令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tests/test_paper_cnn_lstm_attention.py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tests/test_paper_xlstm_transformer.py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tests/test_examples_notebooks.py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真实训练验收参数摘要：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scripts/run_formal_paper_reproductions.py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</w:t>
      </w:r>
      <w:r>
        <w:rPr>
          <w:rStyle w:val="AttributeTok"/>
          <w:rFonts w:ascii="宋体" w:hAnsi="宋体" w:eastAsia="宋体"/>
          <w:color w:val="000000"/>
        </w:rPr>
        <w:t xml:space="preserve">--output-root</w:t>
      </w:r>
      <w:r>
        <w:rPr>
          <w:rStyle w:val="NormalTok"/>
          <w:rFonts w:ascii="宋体" w:hAnsi="宋体" w:eastAsia="宋体"/>
          <w:color w:val="000000"/>
        </w:rPr>
        <w:t xml:space="preserve"> tmp/formal_paper_reproductions_50ep_relative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</w:t>
      </w:r>
      <w:r>
        <w:rPr>
          <w:rStyle w:val="AttributeTok"/>
          <w:rFonts w:ascii="宋体" w:hAnsi="宋体" w:eastAsia="宋体"/>
          <w:color w:val="000000"/>
        </w:rPr>
        <w:t xml:space="preserve">--epochs</w:t>
      </w:r>
      <w:r>
        <w:rPr>
          <w:rStyle w:val="NormalTok"/>
          <w:rFonts w:ascii="宋体" w:hAnsi="宋体" w:eastAsia="宋体"/>
          <w:color w:val="000000"/>
        </w:rPr>
        <w:t xml:space="preserve"> 50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</w:t>
      </w:r>
      <w:r>
        <w:rPr>
          <w:rStyle w:val="AttributeTok"/>
          <w:rFonts w:ascii="宋体" w:hAnsi="宋体" w:eastAsia="宋体"/>
          <w:color w:val="000000"/>
        </w:rPr>
        <w:t xml:space="preserve">--batch-size</w:t>
      </w:r>
      <w:r>
        <w:rPr>
          <w:rStyle w:val="NormalTok"/>
          <w:rFonts w:ascii="宋体" w:hAnsi="宋体" w:eastAsia="宋体"/>
          <w:color w:val="000000"/>
        </w:rPr>
        <w:t xml:space="preserve"> 64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</w:t>
      </w:r>
      <w:r>
        <w:rPr>
          <w:rStyle w:val="AttributeTok"/>
          <w:rFonts w:ascii="宋体" w:hAnsi="宋体" w:eastAsia="宋体"/>
          <w:color w:val="000000"/>
        </w:rPr>
        <w:t xml:space="preserve">--cnn-max-samples</w:t>
      </w:r>
      <w:r>
        <w:rPr>
          <w:rStyle w:val="NormalTok"/>
          <w:rFonts w:ascii="宋体" w:hAnsi="宋体" w:eastAsia="宋体"/>
          <w:color w:val="000000"/>
        </w:rPr>
        <w:t xml:space="preserve"> 96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</w:t>
      </w:r>
      <w:r>
        <w:rPr>
          <w:rStyle w:val="AttributeTok"/>
          <w:rFonts w:ascii="宋体" w:hAnsi="宋体" w:eastAsia="宋体"/>
          <w:color w:val="000000"/>
        </w:rPr>
        <w:t xml:space="preserve">--xlstm-max-samples</w:t>
      </w:r>
      <w:r>
        <w:rPr>
          <w:rStyle w:val="NormalTok"/>
          <w:rFonts w:ascii="宋体" w:hAnsi="宋体" w:eastAsia="宋体"/>
          <w:color w:val="000000"/>
        </w:rPr>
        <w:t xml:space="preserve"> 96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scripts/build_formal_reproduction_summary.py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</w:t>
      </w:r>
      <w:r>
        <w:rPr>
          <w:rStyle w:val="AttributeTok"/>
          <w:rFonts w:ascii="宋体" w:hAnsi="宋体" w:eastAsia="宋体"/>
          <w:color w:val="000000"/>
        </w:rPr>
        <w:t xml:space="preserve">--output-root</w:t>
      </w:r>
      <w:r>
        <w:rPr>
          <w:rStyle w:val="NormalTok"/>
          <w:rFonts w:ascii="宋体" w:hAnsi="宋体" w:eastAsia="宋体"/>
          <w:color w:val="000000"/>
        </w:rPr>
        <w:t xml:space="preserve"> tmp/formal_paper_reproductions_50ep_selected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</w:t>
      </w:r>
      <w:r>
        <w:rPr>
          <w:rStyle w:val="AttributeTok"/>
          <w:rFonts w:ascii="宋体" w:hAnsi="宋体" w:eastAsia="宋体"/>
          <w:color w:val="000000"/>
        </w:rPr>
        <w:t xml:space="preserve">--cnn-root</w:t>
      </w:r>
      <w:r>
        <w:rPr>
          <w:rStyle w:val="NormalTok"/>
          <w:rFonts w:ascii="宋体" w:hAnsi="宋体" w:eastAsia="宋体"/>
          <w:color w:val="000000"/>
        </w:rPr>
        <w:t xml:space="preserve"> tmp/formal_paper_reproductions_50ep_relative/formal_cnn_lstm_attention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</w:t>
      </w:r>
      <w:r>
        <w:rPr>
          <w:rStyle w:val="AttributeTok"/>
          <w:rFonts w:ascii="宋体" w:hAnsi="宋体" w:eastAsia="宋体"/>
          <w:color w:val="000000"/>
        </w:rPr>
        <w:t xml:space="preserve">--xlstm-root</w:t>
      </w:r>
      <w:r>
        <w:rPr>
          <w:rStyle w:val="NormalTok"/>
          <w:rFonts w:ascii="宋体" w:hAnsi="宋体" w:eastAsia="宋体"/>
          <w:color w:val="000000"/>
        </w:rPr>
        <w:t xml:space="preserve"> tmp/paper_repro_xlstm_time_index_50ep/paper_xlstm_transformer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完整可复制命令保留在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docs/PAPER_REPRODUCTION.md</w:t>
      </w:r>
      <w:r>
        <w:rPr>
          <w:rFonts w:ascii="宋体" w:hAnsi="宋体" w:eastAsia="宋体"/>
          <w:color w:val="000000"/>
        </w:rPr>
        <w:t xml:space="preserve">；本报告只保留验收参数和 workflow 名称，避免 PDF 中长命令截断。</w:t>
      </w:r>
    </w:p>
    <w:bookmarkStart w:id="27" w:name="集成输出物核对表"/>
    <w:p>
      <w:pPr>
        <w:pStyle w:val="Heading3"/>
      </w:pPr>
      <w:r>
        <w:rPr>
          <w:rFonts w:ascii="宋体" w:hAnsi="宋体" w:eastAsia="宋体"/>
          <w:color w:val="000000"/>
        </w:rPr>
        <w:t xml:space="preserve">5.1 集成输出物核对表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输出物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生成位置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验证意义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训练输出目录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证明 epoch 循环真实执行，不是静态示例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模型评估目录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保存单模型评估结果，便于回归比较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测试输出目录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保留 target 与 prediction，可画 RUL 曲线和误差分布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记录不同模型、数据集和指标的对比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执行日志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pytest 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证明 examples 不是孤立文档，而是可执行入口</w:t>
            </w:r>
          </w:p>
        </w:tc>
      </w:tr>
    </w:tbl>
    <w:bookmarkEnd w:id="27"/>
    <w:bookmarkStart w:id="28" w:name="真实训练指标摘要"/>
    <w:p>
      <w:pPr>
        <w:pStyle w:val="Heading3"/>
      </w:pPr>
      <w:r>
        <w:rPr>
          <w:rFonts w:ascii="宋体" w:hAnsi="宋体" w:eastAsia="宋体"/>
          <w:color w:val="000000"/>
        </w:rPr>
        <w:t xml:space="preserve">5.2 真实训练指标摘要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CNN-LSTM-AM 复现实验输出编号为 A1。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数据集/工况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预测数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epoch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condition_1_35Hz12kN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0.146543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0.146543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0.792412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condition_1_35Hz12kN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0.180620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0.180620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1.396488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0.166840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0.222228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1.595291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0.185602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0.247218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1.822512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xLSTM-Transformer 复现实验输出编号为 A2，包含 18 行模型对比结果。代表性 XLSTM-Transformer 指标如下：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数据集/工况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R2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0.064558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0.064558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0.950555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0.749011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0.160142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0.160142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0.698626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0.953319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0.067241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0.067241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0.946986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0.881805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0.138829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0.187602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0.587010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1.395230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0.221128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0.374170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-0.643896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1.816222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0.085566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0.107630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0.863951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0.949031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输出编号说明：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comparison 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tmp/formal_paper_reproductions_50ep_relative/formal_cnn_lstm_attention/comparison_metrics.csv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tmp/paper_repro_xlstm_time_index_50ep/paper_xlstm_transformer/comparison_metrics.csv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tmp/formal_paper_reproductions_50ep_selected/formal_paper_reproductions/formal_reproduction_summary.json</w:t>
            </w:r>
          </w:p>
        </w:tc>
      </w:tr>
    </w:tbl>
    <w:bookmarkEnd w:id="28"/>
    <w:bookmarkStart w:id="29" w:name="原始输出摘录"/>
    <w:p>
      <w:pPr>
        <w:pStyle w:val="Heading3"/>
      </w:pPr>
      <w:r>
        <w:rPr>
          <w:rFonts w:ascii="宋体" w:hAnsi="宋体" w:eastAsia="宋体"/>
          <w:color w:val="000000"/>
        </w:rPr>
        <w:t xml:space="preserve">5.3 原始输出摘录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$ uv run --extra dev pytest tests/test_formal_reproduction_validation.py tests/test_paper_cnn_lstm_attention.py tests/test_paper_xlstm_transformer.py tests/test_training_pipeline.py -q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....................                                                     [100%]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20 passed in 4.26s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$ uv run --extra dev pytest tests/test_examples_notebooks.py -q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....                                                                     [100%]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4 passed in 27.57s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$ uv run --extra dev pytest -q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.......................................                                  [100%]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39 passed in 28.93s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真实训练命令执行后，两个 workflow 均返回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路径，并在各模型目录下生成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。这些输出保留在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，用于本地复查，不纳入 Git。</w:t>
      </w:r>
    </w:p>
    <w:bookmarkEnd w:id="29"/>
    <w:bookmarkEnd w:id="30"/>
    <w:bookmarkStart w:id="31" w:name="测试结论"/>
    <w:p>
      <w:pPr>
        <w:pStyle w:val="Heading2"/>
      </w:pPr>
      <w:r>
        <w:rPr>
          <w:rFonts w:ascii="宋体" w:hAnsi="宋体" w:eastAsia="宋体"/>
          <w:color w:val="000000"/>
        </w:rPr>
        <w:t xml:space="preserve">6. 测试结论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2026-06-14 结题验收执行结果：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focused 集成测试：formal validator、两篇论文复现和训练管线，结果为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20 passed in 4.26s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 执行测试：</w:t>
      </w:r>
      <w:r>
        <w:rPr>
          <w:rStyle w:val="VerbatimChar"/>
          <w:rFonts w:ascii="宋体" w:hAnsi="宋体" w:eastAsia="宋体"/>
          <w:color w:val="000000"/>
        </w:rPr>
        <w:t xml:space="preserve">uv run --extra dev pytest tests/test_examples_notebooks.py -q</w:t>
      </w:r>
      <w:r>
        <w:rPr>
          <w:rFonts w:ascii="宋体" w:hAnsi="宋体" w:eastAsia="宋体"/>
          <w:color w:val="000000"/>
        </w:rPr>
        <w:t xml:space="preserve">，结果为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4 passed in 27.57s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全量回归测试：</w:t>
      </w:r>
      <w:r>
        <w:rPr>
          <w:rStyle w:val="VerbatimChar"/>
          <w:rFonts w:ascii="宋体" w:hAnsi="宋体" w:eastAsia="宋体"/>
          <w:color w:val="000000"/>
        </w:rPr>
        <w:t xml:space="preserve">uv run --extra dev pytest -q</w:t>
      </w:r>
      <w:r>
        <w:rPr>
          <w:rFonts w:ascii="宋体" w:hAnsi="宋体" w:eastAsia="宋体"/>
          <w:color w:val="000000"/>
        </w:rPr>
        <w:t xml:space="preserve">，结果为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39 passed in 28.93s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CNN-LSTM-AM 真实训练：XJTU-SY、PHM2012 两个数据集均完成 50 epoch，输出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paper_reference_comparison.csv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xLSTM-Transformer 真实训练：XJTU-SY 三工况、PHM2012 三工况、三类模型共 18 行对比结果，均完成 50 epoch。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集成测试证明系统不是孤立函数集合，而是具备完整业务链路的 RUL 预测框架。两个论文复现 workflow 能调用真实 loader、训练真实 PyTorch 模型、输出指标和训练历史，满足课程验收对可运行系统和实验复现的要求。</w:t>
      </w:r>
    </w:p>
    <w:bookmarkEnd w:id="31"/>
    <w:bookmarkEnd w:id="32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14_集成测试报告</dc:title>
  <dc:creator>zyj、cyy、zdh、zy</dc:creator>
  <cp:keywords>RUL, 预测性维护, 工业轴承, 软件工程</cp:keywords>
  <dcterms:created xsi:type="dcterms:W3CDTF">2026-06-16T12:53:05Z</dcterms:created>
  <dcterms:modified xsi:type="dcterms:W3CDTF">2026-06-16T12:53:05Z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