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sdt>
      <w:sdtPr>
        <w:docPartObj>
          <w:docPartGallery w:val="目录"/>
          <w:docPartUnique/>
        </w:docPartObj>
      </w:sdtPr>
      <w:sdtContent>
        <w:p>
          <w:pPr>
            <w:pStyle w:val="TOCHeading"/>
          </w:pPr>
          <w:r>
            <w:t xml:space="preserve">目录</w:t>
          </w:r>
        </w:p>
        <w:p>
          <w:r>
            <w:fldChar w:fldCharType="begin" w:dirty="true"/>
            <w:instrText xml:space="preserve">TOC \o "1-3" \h \z \u</w:instrText>
            <w:fldChar w:fldCharType="separate"/>
            <w:fldChar w:fldCharType="end"/>
          </w:r>
        </w:p>
      </w:sdtContent>
    </w:sdt>
    <w:bookmarkStart w:id="34" w:name="工业轴承设备剩余寿命预测系统的实现确认测试报告"/>
    <w:p>
      <w:pPr>
        <w:pStyle w:val="Heading1"/>
        <w:jc w:val="center"/>
      </w:pPr>
      <w:r>
        <w:rPr>
          <w:rFonts w:ascii="宋体" w:hAnsi="宋体" w:eastAsia="宋体"/>
          <w:b/>
          <w:color w:val="000000"/>
          <w:sz w:val="48"/>
        </w:rPr>
        <w:t xml:space="preserve">工业轴承设备剩余寿命预测系统的实现：确认测试报告</w:t>
      </w:r>
    </w:p>
    <w:bookmarkStart w:id="20" w:name="文档信息"/>
    <w:p>
      <w:pPr>
        <w:pStyle w:val="Heading2"/>
      </w:pPr>
      <w:r>
        <w:rPr>
          <w:rFonts w:ascii="宋体" w:hAnsi="宋体" w:eastAsia="宋体"/>
          <w:color w:val="000000"/>
        </w:rPr>
        <w:t xml:space="preserve">文档信息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项目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确认测试报告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文档编号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SE-PHM-FINAL-15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文档阶段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结题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项目名称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工业轴承设备剩余寿命预测系统的实现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中国科学技术大学软件学院《软件工程》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指导老师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zjf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小组成员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zyj、cyy、zdh、zy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文档负责人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zdh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参与编写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zyj、cyy、zy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版本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修订日期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归档形式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Markdown 源文件、PDF、DOCX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内容基线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需求确认、用户场景验证、风险和结论</w:t>
            </w:r>
          </w:p>
        </w:tc>
      </w:tr>
    </w:tbl>
    <w:bookmarkEnd w:id="20"/>
    <w:bookmarkStart w:id="21" w:name="修订记录"/>
    <w:p>
      <w:pPr>
        <w:pStyle w:val="Heading2"/>
      </w:pPr>
      <w:r>
        <w:rPr>
          <w:rFonts w:ascii="宋体" w:hAnsi="宋体" w:eastAsia="宋体"/>
          <w:color w:val="000000"/>
        </w:rPr>
        <w:t xml:space="preserve">修订记录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版本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日期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编写人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V1.0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2025-11-10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完成初版课程文档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V2.0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2026-03-12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统一项目名称、技术基线和阶段交付内容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V3.0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2026-06-14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项目组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参考课程交付样例统一封面与归档格式，补充数据理解、技术难点、测试验收和 DOCX 交付信息</w:t>
            </w:r>
          </w:p>
        </w:tc>
      </w:tr>
    </w:tbl>
    <w:bookmarkEnd w:id="21"/>
    <w:bookmarkStart w:id="22" w:name="确认测试依据"/>
    <w:p>
      <w:pPr>
        <w:pStyle w:val="Heading2"/>
      </w:pPr>
      <w:r>
        <w:rPr>
          <w:rFonts w:ascii="宋体" w:hAnsi="宋体" w:eastAsia="宋体"/>
          <w:color w:val="000000"/>
        </w:rPr>
        <w:t xml:space="preserve">1. 确认测试依据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确认测试依据包括：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docx/proposal/md/04_需求定义文档.md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docx/proposal/md/05_SRS规格说明文档.md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docx/proposal/md/09_确认测试计划文档.md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docx/final/md/13_单元测试报告.md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docx/final/md/14_集成测试报告.md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docs/工程实践各阶段要求.pdf</w:t>
      </w:r>
    </w:p>
    <w:p>
      <w:pPr>
        <w:numPr>
          <w:ilvl w:val="0"/>
          <w:numId w:val="1001"/>
        </w:numPr>
        <w:pStyle w:val="Compact"/>
        <w:spacing w:line="276" w:lineRule="auto" w:after="0"/>
        <w:ind w:firstLine="420"/>
      </w:pPr>
      <w:r>
        <w:rPr>
          <w:rStyle w:val="VerbatimChar"/>
          <w:rFonts w:ascii="宋体" w:hAnsi="宋体" w:eastAsia="宋体"/>
          <w:color w:val="000000"/>
        </w:rPr>
        <w:t xml:space="preserve">docs/FINAL_DELIVERABLE_CHECKLIST.md</w:t>
      </w:r>
    </w:p>
    <w:bookmarkEnd w:id="22"/>
    <w:bookmarkStart w:id="25" w:name="需求验收矩阵"/>
    <w:p>
      <w:pPr>
        <w:pStyle w:val="Heading2"/>
      </w:pPr>
      <w:r>
        <w:rPr>
          <w:rFonts w:ascii="宋体" w:hAnsi="宋体" w:eastAsia="宋体"/>
          <w:color w:val="000000"/>
        </w:rPr>
        <w:t xml:space="preserve">2. 需求验收矩阵</w:t>
      </w:r>
    </w:p>
    <w:bookmarkStart w:id="23" w:name="验收汇总"/>
    <w:p>
      <w:pPr>
        <w:pStyle w:val="Heading3"/>
      </w:pPr>
      <w:r>
        <w:rPr>
          <w:rFonts w:ascii="宋体" w:hAnsi="宋体" w:eastAsia="宋体"/>
          <w:color w:val="000000"/>
        </w:rPr>
        <w:t xml:space="preserve">2.1 验收汇总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需求类别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覆盖需求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结论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数据接入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FR-M1-01、FR-M1-02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特征与标签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FR-M2-03、FR-M2-04、FR-M3-01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模型训练与预测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FR-M4-01 至 FR-M4-07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指标与实验记录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FR-M5-01 至 FR-M5-05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文档交付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课程文档归档要求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</w:tr>
    </w:tbl>
    <w:bookmarkEnd w:id="23"/>
    <w:bookmarkStart w:id="24" w:name="需求证据与限制"/>
    <w:p>
      <w:pPr>
        <w:pStyle w:val="Heading3"/>
      </w:pPr>
      <w:r>
        <w:rPr>
          <w:rFonts w:ascii="宋体" w:hAnsi="宋体" w:eastAsia="宋体"/>
          <w:color w:val="000000"/>
        </w:rPr>
        <w:t xml:space="preserve">2.2 需求证据与限制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FR-M1-01、FR-M1-02：系统能够加载 XJTU-SY 和 PHM2012/FEMTO 本地目录。证据为 loader 自动化测试，以及两篇真实训练 workflow 读取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data/external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下真实数据。限制是原始数据不提交仓库，PHM2012 Test_set 终止 RUL 需结合官方条目解释。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FR-M2-03、FR-M2-04、FR-M3-01：系统能够提取 19 维时频域特征并构造 RUL 标签。证据为特征导出 notebook、特征序列标签器测试和论文复现训练输入。限制是当前主线以振动特征为主，温度字段由 loader 保留但未深入融合。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FR-M4-01：系统能够训练 CNN-LSTM-AM、CNN-LSTM、XLSTM-Transformer、Feature-Transformer 和 LSTM-Transformer 等 RUL 模型。证据为两篇论文复现 notebook、正式 50 epoch workflow 和对应验证脚本。限制是结题验收采用每轴承 96 快照抽样，不声明作者源码级完整精度复刻。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FR-M4-02、FR-M4-03：系统能够执行直接预测、滚动预测和 Monte Carlo Dropout 不确定性预测接口。证据为预测模式测试。限制是不确定性预测作为接口能力验证，未作为答辩主结果。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FR-M4-04 至 FR-M4-07：系统支持训练回调、梯度记录和异常告警。证据为训练 pipeline 测试。TensorBoard 在本地依赖可用时输出事件日志。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FR-M5-01、FR-M5-02：系统支持普通回归指标、Huang RUL Score、PHM2008/PHM2012 challenge-style score 和可配置非对称 RUL 惩罚。证据为 RUL 指标测试和复现实验对比表。限制是不同 score 口径分开展示，不混同解释。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FR-M5-04、FR-M5-05：系统能够保存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history.csv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metrics.json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predictions.csv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。这些输出位于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tmp/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或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outputs/</w:t>
      </w:r>
      <w:r>
        <w:rPr>
          <w:rFonts w:ascii="宋体" w:hAnsi="宋体" w:eastAsia="宋体"/>
          <w:color w:val="000000"/>
        </w:rPr>
        <w:t xml:space="preserve">，不作为 Git 提交内容。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课程文档交付要求：系统通过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scripts/export_course_docs.sh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导出 Markdown 对应 PDF 和 DOCX。结题阶段保留 16 份 Markdown、PDF 和 DOCX，三阶段课程文档合计 27 份 Markdown、PDF 和 DOCX。</w:t>
      </w:r>
    </w:p>
    <w:bookmarkEnd w:id="24"/>
    <w:bookmarkEnd w:id="25"/>
    <w:bookmarkStart w:id="29" w:name="用户场景验证"/>
    <w:p>
      <w:pPr>
        <w:pStyle w:val="Heading2"/>
      </w:pPr>
      <w:r>
        <w:rPr>
          <w:rFonts w:ascii="宋体" w:hAnsi="宋体" w:eastAsia="宋体"/>
          <w:color w:val="000000"/>
        </w:rPr>
        <w:t xml:space="preserve">3. 用户场景验证</w:t>
      </w:r>
    </w:p>
    <w:bookmarkStart w:id="26" w:name="使用真实数据训练-rul-模型"/>
    <w:p>
      <w:pPr>
        <w:pStyle w:val="Heading3"/>
      </w:pPr>
      <w:r>
        <w:rPr>
          <w:rFonts w:ascii="宋体" w:hAnsi="宋体" w:eastAsia="宋体"/>
          <w:color w:val="000000"/>
        </w:rPr>
        <w:t xml:space="preserve">3.1 使用真实数据训练 RUL 模型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用户提供本地 XJTU-SY 或 PHM2012 数据目录后，可通过 loader 读取轴承实体，构建 RUL 数据集并训练模型。系统支持用环境变量控制输出目录和训练 epoch，便于实验隔离。</w:t>
      </w:r>
    </w:p>
    <w:bookmarkEnd w:id="26"/>
    <w:bookmarkStart w:id="27" w:name="复现实验并导出指标"/>
    <w:p>
      <w:pPr>
        <w:pStyle w:val="Heading3"/>
      </w:pPr>
      <w:r>
        <w:rPr>
          <w:rFonts w:ascii="宋体" w:hAnsi="宋体" w:eastAsia="宋体"/>
          <w:color w:val="000000"/>
        </w:rPr>
        <w:t xml:space="preserve">3.2 复现实验并导出指标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用户运行论文复现 notebook 或 workflow 后，可得到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comparison_metrics.csv</w:t>
      </w:r>
      <w:r>
        <w:rPr>
          <w:rFonts w:ascii="宋体" w:hAnsi="宋体" w:eastAsia="宋体"/>
          <w:color w:val="000000"/>
        </w:rPr>
        <w:t xml:space="preserve">。该文件包含不同模型在不同数据集/工况上的 RMSE、NormalizedRMSE、Score 和相对变化列，便于答辩展示。</w:t>
      </w:r>
    </w:p>
    <w:bookmarkEnd w:id="27"/>
    <w:bookmarkStart w:id="28" w:name="查看文档和安装说明"/>
    <w:p>
      <w:pPr>
        <w:pStyle w:val="Heading3"/>
      </w:pPr>
      <w:r>
        <w:rPr>
          <w:rFonts w:ascii="宋体" w:hAnsi="宋体" w:eastAsia="宋体"/>
          <w:color w:val="000000"/>
        </w:rPr>
        <w:t xml:space="preserve">3.3 查看文档和安装说明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用户可通过 README、</w:t>
      </w:r>
      <w:r>
        <w:rPr>
          <w:rStyle w:val="VerbatimChar"/>
          <w:rFonts w:ascii="宋体" w:hAnsi="宋体" w:eastAsia="宋体"/>
          <w:color w:val="000000"/>
        </w:rPr>
        <w:t xml:space="preserve">docs/USER_GUIDE.md</w:t>
      </w:r>
      <w:r>
        <w:rPr>
          <w:rFonts w:ascii="宋体" w:hAnsi="宋体" w:eastAsia="宋体"/>
          <w:color w:val="000000"/>
        </w:rPr>
        <w:t xml:space="preserve">、</w:t>
      </w:r>
      <w:r>
        <w:rPr>
          <w:rStyle w:val="VerbatimChar"/>
          <w:rFonts w:ascii="宋体" w:hAnsi="宋体" w:eastAsia="宋体"/>
          <w:color w:val="000000"/>
        </w:rPr>
        <w:t xml:space="preserve">docx/final/md/16_用户使用手册.md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和</w:t>
      </w:r>
      <w:r>
        <w:rPr>
          <w:rFonts w:ascii="宋体" w:hAnsi="宋体" w:eastAsia="宋体"/>
          <w:color w:val="000000"/>
        </w:rPr>
        <w:t xml:space="preserve"> </w:t>
      </w:r>
      <w:r>
        <w:rPr>
          <w:rStyle w:val="VerbatimChar"/>
          <w:rFonts w:ascii="宋体" w:hAnsi="宋体" w:eastAsia="宋体"/>
          <w:color w:val="000000"/>
        </w:rPr>
        <w:t xml:space="preserve">docx/final/md/17_安装配置手册.md</w:t>
      </w:r>
      <w:r>
        <w:rPr>
          <w:rFonts w:ascii="宋体" w:hAnsi="宋体" w:eastAsia="宋体"/>
          <w:color w:val="000000"/>
        </w:rPr>
        <w:t xml:space="preserve"> </w:t>
      </w:r>
      <w:r>
        <w:rPr>
          <w:rFonts w:ascii="宋体" w:hAnsi="宋体" w:eastAsia="宋体"/>
          <w:color w:val="000000"/>
        </w:rPr>
        <w:t xml:space="preserve">了解系统安装、数据准备和运行方式。</w:t>
      </w:r>
    </w:p>
    <w:bookmarkEnd w:id="28"/>
    <w:bookmarkEnd w:id="29"/>
    <w:bookmarkStart w:id="32" w:name="风险与限制"/>
    <w:p>
      <w:pPr>
        <w:pStyle w:val="Heading2"/>
      </w:pPr>
      <w:r>
        <w:rPr>
          <w:rFonts w:ascii="宋体" w:hAnsi="宋体" w:eastAsia="宋体"/>
          <w:color w:val="000000"/>
        </w:rPr>
        <w:t xml:space="preserve">4. 风险与限制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风险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处理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论文数值不完全一致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本地使用每轴承 96 快照抽样，且作者源码不可得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文档明确复现边界并输出 gap 表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真实数据较大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全量读取耗时较高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loader 支持读前抽样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 论文无源码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无法逐行复刻作者实现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标注为结构复现和项目管线适配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离散诊断不是主线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开题报告已改为 RUL 和预测性维护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不扩展离散状态识别指标</w:t>
            </w:r>
          </w:p>
        </w:tc>
      </w:tr>
    </w:tbl>
    <w:bookmarkStart w:id="30" w:name="确认测试判定说明"/>
    <w:p>
      <w:pPr>
        <w:pStyle w:val="Heading3"/>
      </w:pPr>
      <w:r>
        <w:rPr>
          <w:rFonts w:ascii="宋体" w:hAnsi="宋体" w:eastAsia="宋体"/>
          <w:color w:val="000000"/>
        </w:rPr>
        <w:t xml:space="preserve">4.1 确认测试判定说明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确认测试从课程评审角度判断系统是否达到</w:t>
      </w:r>
      <w:r>
        <w:rPr>
          <w:rFonts w:ascii="宋体" w:hAnsi="宋体" w:eastAsia="宋体"/>
          <w:color w:val="000000"/>
        </w:rPr>
        <w:t xml:space="preserve">“</w:t>
      </w:r>
      <w:r>
        <w:rPr>
          <w:rFonts w:ascii="宋体" w:hAnsi="宋体" w:eastAsia="宋体"/>
          <w:color w:val="000000"/>
        </w:rPr>
        <w:t xml:space="preserve">可用、可信、可解释</w:t>
      </w:r>
      <w:r>
        <w:rPr>
          <w:rFonts w:ascii="宋体" w:hAnsi="宋体" w:eastAsia="宋体"/>
          <w:color w:val="000000"/>
        </w:rPr>
        <w:t xml:space="preserve">”</w:t>
      </w:r>
      <w:r>
        <w:rPr>
          <w:rFonts w:ascii="宋体" w:hAnsi="宋体" w:eastAsia="宋体"/>
          <w:color w:val="000000"/>
        </w:rPr>
        <w:t xml:space="preserve">的最低闭环：</w:t>
      </w:r>
    </w:p>
    <w:tbl>
      <w:tblPr>
        <w:tblStyle w:val="Table"/>
        <w:tblW w:type="pct" w:w="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/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维度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判定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说明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可用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用户可按 README、用户手册和 notebook 运行数据加载、训练和复现实验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可信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自动化测试覆盖关键模块，真实训练输出包含 history、metrics 和 predictions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可解释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文档和答辩材料解释了数据特点、特征含义、模型边界和指标口径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可归档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通过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课程文档同时保留 Markdown、PDF 和 DOCX，便于审阅和提交</w:t>
            </w:r>
          </w:p>
        </w:tc>
      </w:tr>
    </w:tbl>
    <w:bookmarkEnd w:id="30"/>
    <w:bookmarkStart w:id="31" w:name="确认测试原始证据摘录"/>
    <w:p>
      <w:pPr>
        <w:pStyle w:val="Heading3"/>
      </w:pPr>
      <w:r>
        <w:rPr>
          <w:rFonts w:ascii="宋体" w:hAnsi="宋体" w:eastAsia="宋体"/>
          <w:color w:val="000000"/>
        </w:rPr>
        <w:t xml:space="preserve">4.2 确认测试原始证据摘录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自动化测试输出：</w:t>
      </w:r>
    </w:p>
    <w:p>
      <w:pPr>
        <w:pStyle w:val="SourceCode"/>
      </w:pPr>
      <w:r>
        <w:rPr>
          <w:rStyle w:val="VerbatimChar"/>
          <w:rFonts w:ascii="宋体" w:hAnsi="宋体" w:eastAsia="宋体"/>
          <w:color w:val="000000"/>
        </w:rPr>
        <w:t xml:space="preserve">$ uv run --extra dev pytest tests/test_formal_reproduction_validation.py tests/test_paper_cnn_lstm_attention.py tests/test_paper_xlstm_transformer.py tests/test_training_pipeline.py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20 passed in 4.26s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$ uv run --extra dev pytest tests/test_examples_notebooks.py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                                   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4 passed in 27.57s</w:t>
      </w:r>
      <w:r>
        <w:rPr>
          <w:rFonts w:ascii="宋体" w:hAnsi="宋体" w:eastAsia="宋体"/>
          <w:color w:val="000000"/>
        </w:rPr>
        <w:br/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$ uv run --extra dev pytest -q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.......................................                                  [100%]</w:t>
      </w:r>
      <w:r>
        <w:rPr>
          <w:rFonts w:ascii="宋体" w:hAnsi="宋体" w:eastAsia="宋体"/>
          <w:color w:val="000000"/>
        </w:rPr>
        <w:br/>
      </w:r>
      <w:r>
        <w:rPr>
          <w:rStyle w:val="VerbatimChar"/>
          <w:rFonts w:ascii="宋体" w:hAnsi="宋体" w:eastAsia="宋体"/>
          <w:color w:val="000000"/>
        </w:rPr>
        <w:t xml:space="preserve">39 passed in 28.93s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真实训练输出路径：</w:t>
      </w:r>
    </w:p>
    <w:tbl>
      <w:tblPr>
        <w:tblStyle w:val="Table"/>
        <w:tblW w:type="pct" w:w="5000.0"/>
        <w:tblLook w:firstRow="1" w:lastRow="0" w:firstColumn="0" w:lastColumn="0" w:noHBand="0" w:noVBand="0" w:val="0020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</w:tblPr>
      <w:tblGrid>
        <w:gridCol w:w="3960"/>
        <w:gridCol w:w="3960"/>
      </w:tblGrid>
      <w:tr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实验</w:t>
            </w:r>
          </w:p>
        </w:tc>
        <w:tc>
          <w:tcPr>
            <w:shd w:fill="FFFFFF"/>
          </w:tcPr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b/>
                <w:color w:val="000000"/>
                <w:sz w:val="21"/>
              </w:rPr>
              <w:t xml:space="preserve">comparison 文件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CNN-LSTM-AM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tmp/formal_paper_reproductions_50ep_relative/formal_cnn_lstm_attention/comparison_metrics.csv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xLSTM-Transformer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tmp/paper_repro_xlstm_time_index_50ep/paper_xlstm_transformer/comparison_metrics.csv</w:t>
            </w:r>
          </w:p>
        </w:tc>
      </w:tr>
      <w:tr>
        <w:tc>
          <w:p>
            <w:pPr>
              <w:pStyle w:val="Compact"/>
              <w:ind w:firstLine="0"/>
              <w:jc w:val="left"/>
            </w:pPr>
            <w:r>
              <w:rPr>
                <w:rFonts w:ascii="宋体" w:hAnsi="宋体" w:eastAsia="宋体"/>
                <w:color w:val="000000"/>
                <w:sz w:val="21"/>
              </w:rPr>
              <w:t xml:space="preserve">formal summary</w:t>
            </w:r>
          </w:p>
        </w:tc>
        <w:tc>
          <w:p>
            <w:pPr>
              <w:pStyle w:val="Compact"/>
              <w:ind w:firstLine="0"/>
              <w:jc w:val="left"/>
            </w:pPr>
            <w:r>
              <w:rPr>
                <w:rStyle w:val="VerbatimChar"/>
                <w:rFonts w:ascii="宋体" w:hAnsi="宋体" w:eastAsia="宋体"/>
                <w:color w:val="000000"/>
                <w:sz w:val="21"/>
              </w:rPr>
              <w:t xml:space="preserve">tmp/formal_paper_reproductions_50ep_selected/formal_paper_reproductions/formal_reproduction_summary.json</w:t>
            </w:r>
          </w:p>
        </w:tc>
      </w:tr>
    </w:tbl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文档导出命令：</w:t>
      </w:r>
    </w:p>
    <w:p>
      <w:pPr>
        <w:pStyle w:val="SourceCode"/>
      </w:pPr>
      <w:r>
        <w:rPr>
          <w:rStyle w:val="FunctionTok"/>
          <w:rFonts w:ascii="宋体" w:hAnsi="宋体" w:eastAsia="宋体"/>
          <w:color w:val="000000"/>
        </w:rPr>
        <w:t xml:space="preserve">bash</w:t>
      </w:r>
      <w:r>
        <w:rPr>
          <w:rStyle w:val="NormalTok"/>
          <w:rFonts w:ascii="宋体" w:hAnsi="宋体" w:eastAsia="宋体"/>
          <w:color w:val="000000"/>
        </w:rPr>
        <w:t xml:space="preserve"> scripts/export_course_docs.sh</w:t>
      </w:r>
    </w:p>
    <w:bookmarkEnd w:id="31"/>
    <w:bookmarkEnd w:id="32"/>
    <w:bookmarkStart w:id="33" w:name="确认测试结论"/>
    <w:p>
      <w:pPr>
        <w:pStyle w:val="Heading2"/>
      </w:pPr>
      <w:r>
        <w:rPr>
          <w:rFonts w:ascii="宋体" w:hAnsi="宋体" w:eastAsia="宋体"/>
          <w:color w:val="000000"/>
        </w:rPr>
        <w:t xml:space="preserve">5. 确认测试结论</w:t>
      </w:r>
    </w:p>
    <w:p>
      <w:pPr>
        <w:pStyle w:val="FirstParagraph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2026-06-15 结题验收中，两篇论文复现均完成 50 epoch 真实数据训练并输出指标表、论文指标 gap 表和验证 summary。自动化测试结果以最终提交前命令输出为准。</w:t>
      </w:r>
    </w:p>
    <w:p>
      <w:pPr>
        <w:pStyle w:val="BodyText"/>
        <w:spacing w:line="276" w:lineRule="auto" w:after="0"/>
        <w:ind w:firstLine="420"/>
      </w:pPr>
      <w:r>
        <w:rPr>
          <w:rFonts w:ascii="宋体" w:hAnsi="宋体" w:eastAsia="宋体"/>
          <w:color w:val="000000"/>
        </w:rPr>
        <w:t xml:space="preserve">系统满足课程项目对工业轴承剩余寿命预测系统的主要需求，能够在本地环境中完成数据导入、特征处理、模型训练、指标评估、论文复现和文档交付。确认测试结论为：通过。</w:t>
      </w:r>
    </w:p>
    <w:bookmarkEnd w:id="33"/>
    <w:bookmarkEnd w:id="34"/>
    <w:sectPr>
      <w:pgMar w:top="1440" w:bottom="1440" w:left="1797" w:right="1797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2c1ae401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ea454b4c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90"/>
  <w:embedSystemFonts/>
  <w:proofState w:grammar="clean" w:spelling="clean"/>
  <w:stylePaneFormatFilter w:val="0004"/>
  <w:footnotePr>
    <w:footnote w:id="-1"/>
    <w:footnote w:id="0"/>
  </w:footnotePr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  <w:rsidRoot w:val="00590D07"/>
    <w:rsid w:val="00011C8B"/>
    <w:rsid w:val="004E29B3"/>
    <w:rsid w:val="00590D07"/>
    <w:rsid w:val="00784D58"/>
    <w:rsid w:val="008D6863"/>
    <w:rsid w:val="00B86B75"/>
    <w:rsid w:val="00BC48D5"/>
    <w:rsid w:val="00C36279"/>
    <w:rsid w:val="00E315A3"/>
  </w:rsids>
  <m:mathPr>
    <m:mathFont m:val="Lucida Grande"/>
    <m:brkBin m:val="before"/>
    <m:brkBinSub m:val="--"/>
    <m:smallFrac m:val="false"/>
    <m:dispDef m:val="false"/>
    <m:lMargin m:val="0"/>
    <m:rMargin m:val="0"/>
    <m:wrapRight/>
    <m:intLim m:val="subSup"/>
    <m:naryLim m:val="subSup"/>
  </m:mathPr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proofState w:grammar="clean" w:spelling="clean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  <w:rPr>
      <w:rFonts w:ascii="宋体" w:hAnsi="宋体" w:eastAsia="宋体"/>
      <w:color w:val="000000"/>
      <w:sz w:val="21"/>
    </w:rPr>
  </w:style>
  <w:style w:styleId="BodyText" w:type="paragraph">
    <w:name w:val="Body Text"/>
    <w:basedOn w:val="Normal"/>
    <w:link w:val="BodyTextChar"/>
    <w:pPr>
      <w:spacing w:after="180" w:before="180"/>
    </w:pPr>
    <w:qFormat/>
    <w:rPr>
      <w:rFonts w:ascii="宋体" w:hAnsi="宋体" w:eastAsia="宋体"/>
      <w:color w:val="000000"/>
      <w:sz w:val="21"/>
    </w:rPr>
  </w:style>
  <w:style w:customStyle="1" w:styleId="FirstParagraph" w:type="paragraph">
    <w:name w:val="First Paragraph"/>
    <w:basedOn w:val="BodyText"/>
    <w:next w:val="BodyText"/>
    <w:qFormat/>
    <w:rPr>
      <w:rFonts w:ascii="宋体" w:hAnsi="宋体" w:eastAsia="宋体"/>
      <w:color w:val="000000"/>
      <w:sz w:val="21"/>
    </w:rPr>
  </w:style>
  <w:style w:customStyle="1" w:styleId="Compact" w:type="paragraph">
    <w:name w:val="Compact"/>
    <w:basedOn w:val="BodyText"/>
    <w:qFormat/>
    <w:pPr>
      <w:spacing w:after="36" w:before="36"/>
    </w:pPr>
    <w:rPr>
      <w:rFonts w:ascii="宋体" w:hAnsi="宋体" w:eastAsia="宋体"/>
      <w:color w:val="000000"/>
      <w:sz w:val="21"/>
    </w:r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 w:ascii="黑体" w:hAnsi="黑体" w:eastAsia="黑体"/>
      <w:b/>
      <w:bCs/>
      <w:color w:val="000000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color w:val="000000"/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3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48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36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 w:ascii="宋体" w:hAnsi="宋体" w:eastAsia="宋体"/>
      <w:b/>
      <w:bCs/>
      <w:color w:val="000000"/>
      <w:sz w:val="27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 w:ascii="宋体" w:hAnsi="宋体" w:eastAsia="宋体"/>
      <w:i/>
      <w:b/>
      <w:bCs/>
      <w:color w:val="000000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 w:ascii="宋体" w:hAnsi="宋体" w:eastAsia="宋体"/>
      <w:b/>
      <w:iCs/>
      <w:color w:val="000000"/>
      <w:sz w:val="21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 w:ascii="宋体" w:hAnsi="宋体" w:eastAsia="宋体"/>
      <w:b/>
      <w:color w:val="000000"/>
      <w:sz w:val="21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val="000000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val="000000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/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/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1" Type="http://schemas.openxmlformats.org/officeDocument/2006/relationships/numbering" Target="numbering.xml"/><Relationship Id="rId2" Type="http://schemas.openxmlformats.org/officeDocument/2006/relationships/styles" Target="styles.xml"/><Relationship Id="rId3" Type="http://schemas.openxmlformats.org/officeDocument/2006/relationships/settings" Target="settings.xml"/><Relationship Id="rId4" Type="http://schemas.openxmlformats.org/officeDocument/2006/relationships/webSettings" Target="webSettings.xml"/><Relationship Id="rId5" Type="http://schemas.openxmlformats.org/officeDocument/2006/relationships/fontTable" Target="fontTable.xml"/><Relationship Id="rId6" Type="http://schemas.openxmlformats.org/officeDocument/2006/relationships/theme" Target="theme/theme1.xml"/><Relationship Id="rId7" Type="http://schemas.openxmlformats.org/officeDocument/2006/relationships/footnotes" Target="footnotes.xml"/><Relationship Id="rId8" Type="http://schemas.openxmlformats.org/officeDocument/2006/relationships/comments" Target="comment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15_确认测试报告</dc:title>
  <dc:creator>zyj、cyy、zdh、zy</dc:creator>
  <cp:keywords>RUL, 预测性维护, 工业轴承, 软件工程</cp:keywords>
  <dcterms:created xsi:type="dcterms:W3CDTF">2026-06-16T12:53:10Z</dcterms:created>
  <dcterms:modified xsi:type="dcterms:W3CDTF">2026-06-16T12:53:10Z</dcterms:modified>
  <dc:subject>工业轴承设备剩余寿命预测系统的实现课程交付文档</dc:subject>
  <dc:description>中国科学技术大学软件学院《软件工程》；由 Markdown 源文件生成 DOCX。</dc:description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