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9" w:name="工业轴承设备剩余寿命预测系统的实现结题答辩提纲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工业轴承设备剩余寿命预测系统的实现：结题答辩提纲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结题答辩提纲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SE-PHM-FINAL-20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V4.0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16 页答辩结构、每页要点、时间分配和备答重点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补充数据理解、技术难点、测试验收和 DOCX 交付信息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V4.0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按 16 页新版网页 PPT 重构论文复现、指标解释和数据特征叙事</w:t>
            </w:r>
          </w:p>
        </w:tc>
      </w:tr>
    </w:tbl>
    <w:bookmarkEnd w:id="21"/>
    <w:bookmarkStart w:id="22" w:name="标题页"/>
    <w:p>
      <w:pPr>
        <w:pStyle w:val="Heading2"/>
      </w:pPr>
      <w:r>
        <w:rPr>
          <w:rFonts w:ascii="宋体" w:hAnsi="宋体" w:eastAsia="宋体"/>
          <w:color w:val="000000"/>
        </w:rPr>
        <w:t xml:space="preserve">1. 标题页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项目名称：工业轴承设备剩余寿命预测系统的实现。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课程：中国科学技术大学软件学院《软件工程》。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指导老师：zjf。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小组成员：zyj、cyy、zdh、zy。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答辩主线：基于真实轴承振动数据完成剩余寿命预测流程。</w:t>
      </w:r>
    </w:p>
    <w:bookmarkEnd w:id="22"/>
    <w:bookmarkStart w:id="23" w:name="项目目标和交付内容"/>
    <w:p>
      <w:pPr>
        <w:pStyle w:val="Heading2"/>
      </w:pPr>
      <w:r>
        <w:rPr>
          <w:rFonts w:ascii="宋体" w:hAnsi="宋体" w:eastAsia="宋体"/>
          <w:color w:val="000000"/>
        </w:rPr>
        <w:t xml:space="preserve">2. 项目目标和交付内容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目标：项目交付一条可复查的轴承 RUL 预测流程。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汇报重点：数据理解、特征分析、工程实现、论文复现、测试验收。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已交付内容：两个数据集 loader、特征工程、RUL 标签、模型训练、评价指标、notebook 示例、结题文档。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口径提醒：先讲业务问题和数据语义，再讲模型和指标。</w:t>
      </w:r>
    </w:p>
    <w:bookmarkEnd w:id="23"/>
    <w:bookmarkStart w:id="24" w:name="任务定义预测剩余寿命"/>
    <w:p>
      <w:pPr>
        <w:pStyle w:val="Heading2"/>
      </w:pPr>
      <w:r>
        <w:rPr>
          <w:rFonts w:ascii="宋体" w:hAnsi="宋体" w:eastAsia="宋体"/>
          <w:color w:val="000000"/>
        </w:rPr>
        <w:t xml:space="preserve">3. 任务定义：预测剩余寿命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预测性维护关注的是设备还能稳定运行多久。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本项目输出连续剩余寿命值、健康趋势曲线和误差指标。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本次答辩主线是 RUL 回归预测，不展开离散状态识别任务；生存分析和失效概率保留为扩展接口，不作为本轮主验收。</w:t>
      </w:r>
    </w:p>
    <w:bookmarkEnd w:id="24"/>
    <w:bookmarkStart w:id="25" w:name="两个数据集记录的是轴承全寿命退化轨迹"/>
    <w:p>
      <w:pPr>
        <w:pStyle w:val="Heading2"/>
      </w:pPr>
      <w:r>
        <w:rPr>
          <w:rFonts w:ascii="宋体" w:hAnsi="宋体" w:eastAsia="宋体"/>
          <w:color w:val="000000"/>
        </w:rPr>
        <w:t xml:space="preserve">4. 两个数据集记录的是轴承全寿命退化轨迹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XJTU-SY：25.6 kHz、32768 点快照、1.28 s 快照时长、约 1 min 间隔、三工况十五轴承。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PHM2012：25.6 kHz、2560 点加速度文件、0.1 s 快照时长、约 10 s 间隔，包含温度文件。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每个振动快照对应同一轴承在某一时刻的采样记录，目录结构、采样间隔和 RUL 语义需要在 loader 层统一。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PHM2012 Test_set 的终止 RUL 按官方条目补充，不能只按本地文件数推断。</w:t>
      </w:r>
    </w:p>
    <w:bookmarkEnd w:id="25"/>
    <w:bookmarkStart w:id="26" w:name="xjtu-sy-特征观察"/>
    <w:p>
      <w:pPr>
        <w:pStyle w:val="Heading2"/>
      </w:pPr>
      <w:r>
        <w:rPr>
          <w:rFonts w:ascii="宋体" w:hAnsi="宋体" w:eastAsia="宋体"/>
          <w:color w:val="000000"/>
        </w:rPr>
        <w:t xml:space="preserve">5. XJTU-SY 特征观察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使用真实数据：XJTU-SY Bearing1_1、35Hz12kN、水平振动通道。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从 123 个快照中均匀抽取 80 个快照进行特征趋势分析。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RMS 从约 0.617 上升到约 4.080，峰值和健康指标在寿命后段明显抬升。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健康指标由 RMS、峭度、峰值因子、谱能量标准化后合成，用于辅助观察整体退化趋势。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结论：训练划分需要尊重时间顺序，不能把相邻退化片段随机混在一起。</w:t>
      </w:r>
    </w:p>
    <w:bookmarkEnd w:id="26"/>
    <w:bookmarkStart w:id="27" w:name="phm2012-特征观察"/>
    <w:p>
      <w:pPr>
        <w:pStyle w:val="Heading2"/>
      </w:pPr>
      <w:r>
        <w:rPr>
          <w:rFonts w:ascii="宋体" w:hAnsi="宋体" w:eastAsia="宋体"/>
          <w:color w:val="000000"/>
        </w:rPr>
        <w:t xml:space="preserve">6. PHM2012 特征观察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使用真实数据：PHM2012 Bearing1_1、Condition 1、Learning_set、水平振动通道。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从 2803 个快照中均匀抽取 80 个快照进行趋势分析。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RMS 从约 0.428 上升到约 2.068，后期振动强度和冲击变化更明显。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PHM2012 的快照更短、文件更密，并包含温度数据；本次主线先使用振动特征。</w:t>
      </w:r>
    </w:p>
    <w:bookmarkEnd w:id="27"/>
    <w:bookmarkStart w:id="28" w:name="多轴承统计用于验证特征趋势"/>
    <w:p>
      <w:pPr>
        <w:pStyle w:val="Heading2"/>
      </w:pPr>
      <w:r>
        <w:rPr>
          <w:rFonts w:ascii="宋体" w:hAnsi="宋体" w:eastAsia="宋体"/>
          <w:color w:val="000000"/>
        </w:rPr>
        <w:t xml:space="preserve">7. 多轴承统计用于验证特征趋势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新增多轴承统计图，覆盖 XJTU-SY 与 PHM2012 的多个代表轴承。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统计口径：每个轴承均匀抽样 80 个快照，前 20% 作为早期，后 20% 作为后期。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XJTU-SY 四个代表轴承后期 RMS 均高于早期，放大倍数约 2.72 到 5.60；谱能量放大更明显。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PHM2012 内部差异更明显，短序列不一定呈现单调退化。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摘要同时比较 RMS、峰值、峭度、峰值因子、谱能量和谱熵，不只是单一 RMS 曲线。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结论：代表曲线用于解释特征含义，多轴承摘要用于补充不同工况和不同轴承之间的差异。</w:t>
      </w:r>
    </w:p>
    <w:bookmarkEnd w:id="28"/>
    <w:bookmarkStart w:id="29" w:name="维特征覆盖强度冲击和频谱"/>
    <w:p>
      <w:pPr>
        <w:pStyle w:val="Heading2"/>
      </w:pPr>
      <w:r>
        <w:rPr>
          <w:rFonts w:ascii="宋体" w:hAnsi="宋体" w:eastAsia="宋体"/>
          <w:color w:val="000000"/>
        </w:rPr>
        <w:t xml:space="preserve">8. 19 维特征覆盖强度、冲击和频谱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默认提取 14 个时域特征和 5 个频域特征，共 19 维。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强度特征：RMS、峰值、峰峰值、谱能量。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冲击特征：峭度、峰值因子、脉冲因子、裕度因子。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稳定性特征：均值、方差、标准差、偏度。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频谱特征：主频、谱质心、谱均方根频率、谱熵。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特征由项目代码使用 NumPy/FFT 实现，不是自动特征提取库生成；</w:t>
      </w:r>
      <w:r>
        <w:rPr>
          <w:rStyle w:val="VerbatimChar"/>
          <w:rFonts w:ascii="宋体" w:hAnsi="宋体" w:eastAsia="宋体"/>
          <w:color w:val="000000"/>
        </w:rPr>
        <w:t xml:space="preserve">clearance_factor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当前与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margin_factor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同公式，作为论文特征名兼容字段保留。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快照级特征按快照先后组织为长度 5 或 10 的特征序列。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RUL 标签按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max(elapsed_seconds) - elapsed_seconds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生成；若只用快照序号，则标注为 snapshot-level RUL。</w:t>
      </w:r>
    </w:p>
    <w:bookmarkEnd w:id="29"/>
    <w:bookmarkStart w:id="30" w:name="系统按数据特征模型和评价分层"/>
    <w:p>
      <w:pPr>
        <w:pStyle w:val="Heading2"/>
      </w:pPr>
      <w:r>
        <w:rPr>
          <w:rFonts w:ascii="宋体" w:hAnsi="宋体" w:eastAsia="宋体"/>
          <w:color w:val="000000"/>
        </w:rPr>
        <w:t xml:space="preserve">9. 系统按数据、特征、模型和评价分层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数据接入层：读取 XJTU-SY 与 PHM2012，整理工况、采样率、通道和快照先后。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特征与标签层：提取 19 维时频域特征，构造特征序列和 RUL 标签。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模型训练层：训练 baseline、CNN-LSTM-AM、xLSTM-Transformer，并保存训练记录。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评价与展示层：输出误差指标、RUL 曲线、预测文件和复现实验对比表。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边界原则：数据读取、特征构造、模型训练和评价输出分开实现。</w:t>
      </w:r>
    </w:p>
    <w:bookmarkEnd w:id="30"/>
    <w:bookmarkStart w:id="31" w:name="难点一先把两个数据集整理成统一样本表"/>
    <w:p>
      <w:pPr>
        <w:pStyle w:val="Heading2"/>
      </w:pPr>
      <w:r>
        <w:rPr>
          <w:rFonts w:ascii="宋体" w:hAnsi="宋体" w:eastAsia="宋体"/>
          <w:color w:val="000000"/>
        </w:rPr>
        <w:t xml:space="preserve">10. 难点一：先把两个数据集整理成统一样本表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数据差异：快照长度、时间间隔、split 语义、终止 RUL 信息不同。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解决原则：loader 先整理采样时间、振动通道和 RUL 标签单位，模型只接收整理后的特征序列。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工程权衡：</w:t>
      </w:r>
      <w:r>
        <w:rPr>
          <w:rStyle w:val="VerbatimChar"/>
          <w:rFonts w:ascii="宋体" w:hAnsi="宋体" w:eastAsia="宋体"/>
          <w:color w:val="000000"/>
        </w:rPr>
        <w:t xml:space="preserve">max_samples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是读前均匀抽样，用于控制训练时间，同时保留早期、中期和后期片段。</w:t>
      </w:r>
    </w:p>
    <w:bookmarkEnd w:id="31"/>
    <w:bookmarkStart w:id="32" w:name="难点二模型输入是一段连续特征序列"/>
    <w:p>
      <w:pPr>
        <w:pStyle w:val="Heading2"/>
      </w:pPr>
      <w:r>
        <w:rPr>
          <w:rFonts w:ascii="宋体" w:hAnsi="宋体" w:eastAsia="宋体"/>
          <w:color w:val="000000"/>
        </w:rPr>
        <w:t xml:space="preserve">11. 难点二：模型输入是一段连续特征序列</w:t>
      </w:r>
    </w:p>
    <w:p>
      <w:pPr>
        <w:numPr>
          <w:ilvl w:val="0"/>
          <w:numId w:val="101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原始振动快照较长，不适合直接在课程范围内做稳定复现。</w:t>
      </w:r>
    </w:p>
    <w:p>
      <w:pPr>
        <w:numPr>
          <w:ilvl w:val="0"/>
          <w:numId w:val="101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处理流程：raw snapshot → 19 维 feature vector → feature sequence → RUL label → prediction。</w:t>
      </w:r>
    </w:p>
    <w:p>
      <w:pPr>
        <w:numPr>
          <w:ilvl w:val="0"/>
          <w:numId w:val="101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特征序列保留了快照之间的先后关系，模型输入不再只是某一个孤立文件。</w:t>
      </w:r>
    </w:p>
    <w:bookmarkEnd w:id="32"/>
    <w:bookmarkStart w:id="33" w:name="论文选择看数据模型和指标是否能对齐"/>
    <w:p>
      <w:pPr>
        <w:pStyle w:val="Heading2"/>
      </w:pPr>
      <w:r>
        <w:rPr>
          <w:rFonts w:ascii="宋体" w:hAnsi="宋体" w:eastAsia="宋体"/>
          <w:color w:val="000000"/>
        </w:rPr>
        <w:t xml:space="preserve">12. 论文选择看数据、模型和指标是否能对齐</w:t>
      </w:r>
    </w:p>
    <w:p>
      <w:pPr>
        <w:numPr>
          <w:ilvl w:val="0"/>
          <w:numId w:val="101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Huang 等 2024 CNN-LSTM-AM：使用时域和频域特征，模型结构清晰，给出 Score 公式，适合验证 19 维特征、attention 模型和指标实现。</w:t>
      </w:r>
    </w:p>
    <w:p>
      <w:pPr>
        <w:numPr>
          <w:ilvl w:val="0"/>
          <w:numId w:val="101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Jiang 等 2026 xLSTM-Transformer：同时覆盖 XJTU-SY 与 PHM2012，公开工况划分、序列长度、训练参数和 RMSE/R2/Score，适合做第二篇同规格复现。</w:t>
      </w:r>
    </w:p>
    <w:p>
      <w:pPr>
        <w:numPr>
          <w:ilvl w:val="0"/>
          <w:numId w:val="101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选择依据：数据集匹配、结构可实现、baseline 可比较、指标可复查。</w:t>
      </w:r>
    </w:p>
    <w:bookmarkEnd w:id="33"/>
    <w:bookmarkStart w:id="34" w:name="复现实验对齐输入划分模型和指标"/>
    <w:p>
      <w:pPr>
        <w:pStyle w:val="Heading2"/>
      </w:pPr>
      <w:r>
        <w:rPr>
          <w:rFonts w:ascii="宋体" w:hAnsi="宋体" w:eastAsia="宋体"/>
          <w:color w:val="000000"/>
        </w:rPr>
        <w:t xml:space="preserve">13. 复现实验对齐输入、划分、模型和指标</w:t>
      </w:r>
    </w:p>
    <w:p>
      <w:pPr>
        <w:numPr>
          <w:ilvl w:val="0"/>
          <w:numId w:val="101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读取真实数据：优先从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data/external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读取 XJTU-SY 与 PHM2012。</w:t>
      </w:r>
    </w:p>
    <w:p>
      <w:pPr>
        <w:numPr>
          <w:ilvl w:val="0"/>
          <w:numId w:val="101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构造特征序列：每个快照提取 19 维特征，再按快照先后组成序列。</w:t>
      </w:r>
    </w:p>
    <w:p>
      <w:pPr>
        <w:numPr>
          <w:ilvl w:val="0"/>
          <w:numId w:val="101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训练主模型：CNN-LSTM-AM 与 XLSTM-Transformer 均使用真实数据完成 50 epoch 正式训练。</w:t>
      </w:r>
    </w:p>
    <w:p>
      <w:pPr>
        <w:numPr>
          <w:ilvl w:val="0"/>
          <w:numId w:val="101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训练 baseline：CNN-LSTM、Feature-Transformer、LSTM-Transformer。</w:t>
      </w:r>
    </w:p>
    <w:p>
      <w:pPr>
        <w:numPr>
          <w:ilvl w:val="0"/>
          <w:numId w:val="101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输出指标：RMSE、NormalizedRMSE、R2、Huang Score、PHM Score。</w:t>
      </w:r>
    </w:p>
    <w:p>
      <w:pPr>
        <w:numPr>
          <w:ilvl w:val="0"/>
          <w:numId w:val="101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保存证据：</w:t>
      </w:r>
      <w:r>
        <w:rPr>
          <w:rStyle w:val="VerbatimChar"/>
          <w:rFonts w:ascii="宋体" w:hAnsi="宋体" w:eastAsia="宋体"/>
          <w:color w:val="000000"/>
        </w:rPr>
        <w:t xml:space="preserve">history.csv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metrics.json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predictions.csv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comparison_metrics.csv</w:t>
      </w:r>
      <w:r>
        <w:rPr>
          <w:rFonts w:ascii="宋体" w:hAnsi="宋体" w:eastAsia="宋体"/>
          <w:color w:val="000000"/>
        </w:rPr>
        <w:t xml:space="preserve">。</w:t>
      </w:r>
    </w:p>
    <w:bookmarkEnd w:id="34"/>
    <w:bookmarkStart w:id="35" w:name="先说明指标口径再看结果差距"/>
    <w:p>
      <w:pPr>
        <w:pStyle w:val="Heading2"/>
      </w:pPr>
      <w:r>
        <w:rPr>
          <w:rFonts w:ascii="宋体" w:hAnsi="宋体" w:eastAsia="宋体"/>
          <w:color w:val="000000"/>
        </w:rPr>
        <w:t xml:space="preserve">14. 先说明指标口径，再看结果差距</w:t>
      </w:r>
    </w:p>
    <w:p>
      <w:pPr>
        <w:numPr>
          <w:ilvl w:val="0"/>
          <w:numId w:val="101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普通回归误差：RMSE、MAE、SMAPE、R2。</w:t>
      </w:r>
    </w:p>
    <w:p>
      <w:pPr>
        <w:numPr>
          <w:ilvl w:val="0"/>
          <w:numId w:val="101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论文指标：Huang 原版 Score。</w:t>
      </w:r>
    </w:p>
    <w:p>
      <w:pPr>
        <w:numPr>
          <w:ilvl w:val="0"/>
          <w:numId w:val="101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挑战赛惩罚指标：PHM/RUL 惩罚 Score。</w:t>
      </w:r>
    </w:p>
    <w:p>
      <w:pPr>
        <w:numPr>
          <w:ilvl w:val="0"/>
          <w:numId w:val="101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方向倾向：over prediction rate、under prediction rate、within tolerance rate。</w:t>
      </w:r>
    </w:p>
    <w:p>
      <w:pPr>
        <w:numPr>
          <w:ilvl w:val="0"/>
          <w:numId w:val="101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结果口径：代表性数值来自真实数据 50 epoch 训练；每轴承按时间均匀抽样 96 个快照，relative RUL 作为训练目标，并与论文表格指标逐项计算 gap。</w:t>
      </w:r>
    </w:p>
    <w:p>
      <w:pPr>
        <w:numPr>
          <w:ilvl w:val="0"/>
          <w:numId w:val="101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边界说明：PHM2012 上负 R2 说明 96 快照抽样和单次训练下仍有拟合不足；PHM2012 Score 数值很大是指数惩罚放大误差，不把单次结果解释为最终性能结论。</w:t>
      </w:r>
    </w:p>
    <w:bookmarkEnd w:id="35"/>
    <w:bookmarkStart w:id="36" w:name="验收依据是测试输出和文档"/>
    <w:p>
      <w:pPr>
        <w:pStyle w:val="Heading2"/>
      </w:pPr>
      <w:r>
        <w:rPr>
          <w:rFonts w:ascii="宋体" w:hAnsi="宋体" w:eastAsia="宋体"/>
          <w:color w:val="000000"/>
        </w:rPr>
        <w:t xml:space="preserve">15. 验收依据是测试、输出和文档</w:t>
      </w:r>
    </w:p>
    <w:p>
      <w:pPr>
        <w:numPr>
          <w:ilvl w:val="0"/>
          <w:numId w:val="101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全量 pytest：39 个测试通过。</w:t>
      </w:r>
    </w:p>
    <w:p>
      <w:pPr>
        <w:numPr>
          <w:ilvl w:val="0"/>
          <w:numId w:val="101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notebook：8 个示例 notebook 纳入 4 个 notebook 测试用例执行验收。</w:t>
      </w:r>
    </w:p>
    <w:p>
      <w:pPr>
        <w:numPr>
          <w:ilvl w:val="0"/>
          <w:numId w:val="101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论文复现：两篇 workflow 均读取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data/external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真实数据。</w:t>
      </w:r>
    </w:p>
    <w:p>
      <w:pPr>
        <w:numPr>
          <w:ilvl w:val="0"/>
          <w:numId w:val="101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输出文件：</w:t>
      </w:r>
      <w:r>
        <w:rPr>
          <w:rStyle w:val="VerbatimChar"/>
          <w:rFonts w:ascii="宋体" w:hAnsi="宋体" w:eastAsia="宋体"/>
          <w:color w:val="000000"/>
        </w:rPr>
        <w:t xml:space="preserve">history.csv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metrics.json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predictions.csv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comparison_metrics.csv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numPr>
          <w:ilvl w:val="0"/>
          <w:numId w:val="101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验收分层：demo 验证 API 链路，notebook smoke 验证示例可执行，真实训练验证复现输出，文档导出验证课程交付。</w:t>
      </w:r>
    </w:p>
    <w:p>
      <w:pPr>
        <w:numPr>
          <w:ilvl w:val="0"/>
          <w:numId w:val="101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文档材料：结题报告、测试报告、用户手册、安装手册、技术论文、成员贡献说明、答辩提纲和讲稿。</w:t>
      </w:r>
    </w:p>
    <w:bookmarkEnd w:id="36"/>
    <w:bookmarkStart w:id="37" w:name="完成内容限制和下一步"/>
    <w:p>
      <w:pPr>
        <w:pStyle w:val="Heading2"/>
      </w:pPr>
      <w:r>
        <w:rPr>
          <w:rFonts w:ascii="宋体" w:hAnsi="宋体" w:eastAsia="宋体"/>
          <w:color w:val="000000"/>
        </w:rPr>
        <w:t xml:space="preserve">16. 完成内容、限制和下一步</w:t>
      </w:r>
    </w:p>
    <w:p>
      <w:pPr>
        <w:numPr>
          <w:ilvl w:val="0"/>
          <w:numId w:val="101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zyj：系统架构、RUL 模型、训练 workflow 和论文复现，35%。</w:t>
      </w:r>
    </w:p>
    <w:p>
      <w:pPr>
        <w:numPr>
          <w:ilvl w:val="0"/>
          <w:numId w:val="101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cyy：数据处理、特征工程、loader 和数据文档，25%。</w:t>
      </w:r>
    </w:p>
    <w:p>
      <w:pPr>
        <w:numPr>
          <w:ilvl w:val="0"/>
          <w:numId w:val="101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zdh：概率分析基础能力、评价支持、测试报告，20%。</w:t>
      </w:r>
    </w:p>
    <w:p>
      <w:pPr>
        <w:numPr>
          <w:ilvl w:val="0"/>
          <w:numId w:val="101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zy：可视化、用户文档、答辩材料，20%。</w:t>
      </w:r>
    </w:p>
    <w:p>
      <w:pPr>
        <w:numPr>
          <w:ilvl w:val="0"/>
          <w:numId w:val="101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不足：训练规模较小，未做多随机种子和充分跨工况验证，温度信息尚未深入融合。</w:t>
      </w:r>
    </w:p>
    <w:p>
      <w:pPr>
        <w:numPr>
          <w:ilvl w:val="0"/>
          <w:numId w:val="101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总结：项目形成三条证据链：真实文件到统一实体，快照信号到特征序列和 RUL 标签，真实训练到预测文件、指标表和测试报告。</w:t>
      </w:r>
    </w:p>
    <w:p>
      <w:pPr>
        <w:numPr>
          <w:ilvl w:val="0"/>
          <w:numId w:val="101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结尾口径：成果是链路、50 epoch 训练证据和论文 gap 对照；边界是每轴承 96 快照抽样与非作者源码级复现，后续是全量训练、多随机种子、温度融合和跨工况调参。</w:t>
      </w:r>
    </w:p>
    <w:bookmarkEnd w:id="37"/>
    <w:bookmarkStart w:id="38" w:name="汇报时间与语气控制"/>
    <w:p>
      <w:pPr>
        <w:pStyle w:val="Heading2"/>
      </w:pPr>
      <w:r>
        <w:rPr>
          <w:rFonts w:ascii="宋体" w:hAnsi="宋体" w:eastAsia="宋体"/>
          <w:color w:val="000000"/>
        </w:rPr>
        <w:t xml:space="preserve">17. 汇报时间与语气控制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部分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建议时间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语气要求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项目目标与数据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 分钟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先讲清楚为什么做 RUL，再讲两个数据集的差异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特征与系统设计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 分钟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用数据流说明模块，不把架构讲成抽象口号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难点与解决方案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 分钟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每个难点都说明原因、原理和对应实现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论文复现与测试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 分钟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说明选择依据、复现方式、指标口径和边界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总结与分工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 分钟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客观说明贡献、不足和后续改进</w:t>
            </w:r>
          </w:p>
        </w:tc>
      </w:tr>
    </w:tbl>
    <w:bookmarkEnd w:id="38"/>
    <w:bookmarkEnd w:id="39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20_结题答辩提纲</dc:title>
  <dc:creator>zyj、cyy、zdh、zy</dc:creator>
  <cp:keywords>RUL, 预测性维护, 工业轴承, 软件工程</cp:keywords>
  <dcterms:created xsi:type="dcterms:W3CDTF">2026-06-16T12:53:35Z</dcterms:created>
  <dcterms:modified xsi:type="dcterms:W3CDTF">2026-06-16T12:53:35Z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